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49" w:rsidRPr="000751CF" w:rsidRDefault="00F06D49" w:rsidP="00F06D49">
      <w:pPr>
        <w:rPr>
          <w:rFonts w:hint="cs"/>
          <w:b/>
          <w:bCs/>
          <w:i/>
          <w:iCs/>
          <w:rtl/>
        </w:rPr>
      </w:pPr>
      <w:r w:rsidRPr="000751CF">
        <w:rPr>
          <w:rFonts w:hint="cs"/>
          <w:b/>
          <w:bCs/>
          <w:i/>
          <w:iCs/>
          <w:rtl/>
        </w:rPr>
        <w:t>ד.</w:t>
      </w:r>
    </w:p>
    <w:p w:rsidR="00F06D49" w:rsidRDefault="00F06D49" w:rsidP="00F06D49">
      <w:pPr>
        <w:rPr>
          <w:rFonts w:hint="cs"/>
          <w:rtl/>
        </w:rPr>
      </w:pPr>
      <w:r w:rsidRPr="000751CF">
        <w:rPr>
          <w:rFonts w:hint="cs"/>
          <w:b/>
          <w:bCs/>
          <w:rtl/>
        </w:rPr>
        <w:t>אמר הריני נזיר בעודו בבית קברות:</w:t>
      </w:r>
      <w:r w:rsidRPr="000751CF">
        <w:rPr>
          <w:b/>
          <w:bCs/>
          <w:rtl/>
        </w:rPr>
        <w:br/>
      </w:r>
      <w:r w:rsidRPr="000751CF">
        <w:rPr>
          <w:rFonts w:hint="cs"/>
          <w:b/>
          <w:bCs/>
          <w:rtl/>
        </w:rPr>
        <w:t>אם אכל ענבים או שתה יין בבית הקברות</w:t>
      </w:r>
      <w:r>
        <w:rPr>
          <w:rFonts w:hint="cs"/>
          <w:rtl/>
        </w:rPr>
        <w:t xml:space="preserve"> </w:t>
      </w:r>
      <w:r>
        <w:rPr>
          <w:rtl/>
        </w:rPr>
        <w:t>–</w:t>
      </w:r>
      <w:r>
        <w:rPr>
          <w:rFonts w:hint="cs"/>
          <w:rtl/>
        </w:rPr>
        <w:t xml:space="preserve"> לריו"ח לוקה, לר"ל לא לוקה.</w:t>
      </w:r>
      <w:r>
        <w:rPr>
          <w:rtl/>
        </w:rPr>
        <w:br/>
      </w:r>
      <w:r w:rsidRPr="000751CF">
        <w:rPr>
          <w:rFonts w:hint="cs"/>
          <w:b/>
          <w:bCs/>
          <w:rtl/>
        </w:rPr>
        <w:t>כשיוצא</w:t>
      </w:r>
      <w:r>
        <w:rPr>
          <w:rFonts w:hint="cs"/>
          <w:rtl/>
        </w:rPr>
        <w:t xml:space="preserve"> </w:t>
      </w:r>
      <w:r>
        <w:rPr>
          <w:rtl/>
        </w:rPr>
        <w:t>–</w:t>
      </w:r>
      <w:r>
        <w:rPr>
          <w:rFonts w:hint="cs"/>
          <w:rtl/>
        </w:rPr>
        <w:t xml:space="preserve"> לריו"ח א"צ לקבל נזירות, לר"ל י"א שצריך, ולמר בר"א א"צ.</w:t>
      </w:r>
      <w:r>
        <w:rPr>
          <w:rStyle w:val="a5"/>
          <w:rtl/>
        </w:rPr>
        <w:footnoteReference w:id="1"/>
      </w:r>
      <w:r>
        <w:rPr>
          <w:rtl/>
        </w:rPr>
        <w:br/>
      </w:r>
      <w:r w:rsidRPr="000751CF">
        <w:rPr>
          <w:rFonts w:hint="cs"/>
          <w:b/>
          <w:bCs/>
          <w:rtl/>
        </w:rPr>
        <w:t>אם אינו יוצא מיד</w:t>
      </w:r>
      <w:r>
        <w:rPr>
          <w:rFonts w:hint="cs"/>
          <w:rtl/>
        </w:rPr>
        <w:t xml:space="preserve"> </w:t>
      </w:r>
      <w:r>
        <w:rPr>
          <w:rtl/>
        </w:rPr>
        <w:t>–</w:t>
      </w:r>
      <w:r>
        <w:rPr>
          <w:rFonts w:hint="cs"/>
          <w:rtl/>
        </w:rPr>
        <w:t xml:space="preserve"> עובר בבל תאחר מיד, אף אם כבר חלה הנזירות מיד.</w:t>
      </w:r>
      <w:r>
        <w:rPr>
          <w:rStyle w:val="a5"/>
          <w:rtl/>
        </w:rPr>
        <w:footnoteReference w:id="2"/>
      </w:r>
      <w:r>
        <w:rPr>
          <w:rtl/>
        </w:rPr>
        <w:br/>
      </w:r>
      <w:r w:rsidRPr="000751CF">
        <w:rPr>
          <w:rFonts w:hint="cs"/>
          <w:b/>
          <w:bCs/>
          <w:rtl/>
        </w:rPr>
        <w:t>נזיר שטימא עצמו במזיד</w:t>
      </w:r>
      <w:r>
        <w:rPr>
          <w:rFonts w:hint="cs"/>
          <w:rtl/>
        </w:rPr>
        <w:t xml:space="preserve"> </w:t>
      </w:r>
      <w:r>
        <w:rPr>
          <w:rtl/>
        </w:rPr>
        <w:t>–</w:t>
      </w:r>
      <w:r>
        <w:rPr>
          <w:rFonts w:hint="cs"/>
          <w:rtl/>
        </w:rPr>
        <w:t xml:space="preserve"> עובר בשני לאוין, והימים הראשונים יפלו, ועובר גם בבל תאחר.</w:t>
      </w:r>
      <w:r>
        <w:rPr>
          <w:rStyle w:val="a5"/>
          <w:rtl/>
        </w:rPr>
        <w:footnoteReference w:id="3"/>
      </w:r>
    </w:p>
    <w:p w:rsidR="00F06D49" w:rsidRDefault="00F06D49" w:rsidP="00F06D49">
      <w:pPr>
        <w:rPr>
          <w:rFonts w:hint="cs"/>
          <w:rtl/>
        </w:rPr>
      </w:pPr>
      <w:r w:rsidRPr="000751CF">
        <w:rPr>
          <w:rFonts w:hint="cs"/>
          <w:b/>
          <w:bCs/>
          <w:rtl/>
        </w:rPr>
        <w:t>נזיר שהביא קרבנותיו ולא גילח</w:t>
      </w:r>
      <w:r>
        <w:rPr>
          <w:rFonts w:hint="cs"/>
          <w:rtl/>
        </w:rPr>
        <w:t xml:space="preserve"> </w:t>
      </w:r>
      <w:r>
        <w:rPr>
          <w:rtl/>
        </w:rPr>
        <w:t>–</w:t>
      </w:r>
      <w:r>
        <w:rPr>
          <w:rFonts w:hint="cs"/>
          <w:rtl/>
        </w:rPr>
        <w:t xml:space="preserve"> לר"א אינו שותה יין, ולרבנן הותר.</w:t>
      </w:r>
      <w:r>
        <w:rPr>
          <w:rtl/>
        </w:rPr>
        <w:br/>
      </w:r>
      <w:r w:rsidRPr="000751CF">
        <w:rPr>
          <w:rFonts w:hint="cs"/>
          <w:b/>
          <w:bCs/>
          <w:rtl/>
        </w:rPr>
        <w:t>המעכב תגלחתו</w:t>
      </w:r>
      <w:r>
        <w:rPr>
          <w:rFonts w:hint="cs"/>
          <w:rtl/>
        </w:rPr>
        <w:t xml:space="preserve"> </w:t>
      </w:r>
      <w:r>
        <w:rPr>
          <w:rtl/>
        </w:rPr>
        <w:t>–</w:t>
      </w:r>
      <w:r>
        <w:rPr>
          <w:rFonts w:hint="cs"/>
          <w:rtl/>
        </w:rPr>
        <w:t xml:space="preserve"> עובר בבל תאחר מיד אף לרבנן.</w:t>
      </w:r>
      <w:r>
        <w:rPr>
          <w:rStyle w:val="a5"/>
          <w:rtl/>
        </w:rPr>
        <w:footnoteReference w:id="4"/>
      </w:r>
    </w:p>
    <w:p w:rsidR="00F06D49" w:rsidRDefault="00F06D49" w:rsidP="00F06D49">
      <w:pPr>
        <w:rPr>
          <w:rFonts w:hint="cs"/>
          <w:rtl/>
        </w:rPr>
      </w:pPr>
      <w:r w:rsidRPr="000751CF">
        <w:rPr>
          <w:rFonts w:hint="cs"/>
          <w:b/>
          <w:bCs/>
          <w:rtl/>
        </w:rPr>
        <w:t>קרבנות הנזיר</w:t>
      </w:r>
      <w:r>
        <w:rPr>
          <w:rFonts w:hint="cs"/>
          <w:rtl/>
        </w:rPr>
        <w:t xml:space="preserve"> </w:t>
      </w:r>
      <w:r>
        <w:rPr>
          <w:rtl/>
        </w:rPr>
        <w:t>–</w:t>
      </w:r>
      <w:r>
        <w:rPr>
          <w:rFonts w:hint="cs"/>
          <w:rtl/>
        </w:rPr>
        <w:t xml:space="preserve"> חטאת עולה ושלמים.</w:t>
      </w:r>
      <w:r>
        <w:rPr>
          <w:rFonts w:hint="cs"/>
          <w:rtl/>
        </w:rPr>
        <w:br/>
        <w:t>עיקר חטאתו אינה באה לכפרה, אף למ"ד דנזיר חוטא הוא.</w:t>
      </w:r>
      <w:r>
        <w:rPr>
          <w:rFonts w:hint="cs"/>
          <w:rtl/>
        </w:rPr>
        <w:br/>
      </w:r>
      <w:r w:rsidRPr="000751CF">
        <w:rPr>
          <w:rFonts w:hint="cs"/>
          <w:b/>
          <w:bCs/>
          <w:rtl/>
        </w:rPr>
        <w:t>גילח על אחת משלשתן</w:t>
      </w:r>
      <w:r>
        <w:rPr>
          <w:rFonts w:hint="cs"/>
          <w:rtl/>
        </w:rPr>
        <w:t xml:space="preserve"> </w:t>
      </w:r>
      <w:r>
        <w:rPr>
          <w:rtl/>
        </w:rPr>
        <w:t>–</w:t>
      </w:r>
      <w:r>
        <w:rPr>
          <w:rFonts w:hint="cs"/>
          <w:rtl/>
        </w:rPr>
        <w:t xml:space="preserve"> יצא.</w:t>
      </w:r>
      <w:r>
        <w:rPr>
          <w:rtl/>
        </w:rPr>
        <w:br/>
      </w:r>
      <w:r w:rsidRPr="000751CF">
        <w:rPr>
          <w:rFonts w:hint="cs"/>
          <w:b/>
          <w:bCs/>
          <w:rtl/>
        </w:rPr>
        <w:t>נתעכב ג' רגלים מלהביא קרבנותיו</w:t>
      </w:r>
      <w:r>
        <w:rPr>
          <w:rFonts w:hint="cs"/>
          <w:rtl/>
        </w:rPr>
        <w:t xml:space="preserve"> </w:t>
      </w:r>
      <w:r>
        <w:rPr>
          <w:rtl/>
        </w:rPr>
        <w:t>–</w:t>
      </w:r>
      <w:r>
        <w:rPr>
          <w:rFonts w:hint="cs"/>
          <w:rtl/>
        </w:rPr>
        <w:t xml:space="preserve"> עובר בבל תאחר כשאר חטאות ואשמות.</w:t>
      </w:r>
      <w:r>
        <w:rPr>
          <w:rStyle w:val="a5"/>
          <w:rtl/>
        </w:rPr>
        <w:footnoteReference w:id="5"/>
      </w:r>
    </w:p>
    <w:p w:rsidR="00F06D49" w:rsidRDefault="00F06D49" w:rsidP="00F06D49">
      <w:pPr>
        <w:rPr>
          <w:rFonts w:hint="cs"/>
          <w:rtl/>
        </w:rPr>
      </w:pPr>
      <w:r w:rsidRPr="000751CF">
        <w:rPr>
          <w:rFonts w:hint="cs"/>
          <w:b/>
          <w:bCs/>
          <w:rtl/>
        </w:rPr>
        <w:t>חטאת</w:t>
      </w:r>
      <w:r>
        <w:rPr>
          <w:rFonts w:hint="cs"/>
          <w:rtl/>
        </w:rPr>
        <w:t xml:space="preserve"> </w:t>
      </w:r>
      <w:r>
        <w:rPr>
          <w:rtl/>
        </w:rPr>
        <w:t>–</w:t>
      </w:r>
      <w:r>
        <w:rPr>
          <w:rFonts w:hint="cs"/>
          <w:rtl/>
        </w:rPr>
        <w:t xml:space="preserve"> אי אפשר להתחייבה בנדר, בלא שחטא או נזר.</w:t>
      </w:r>
      <w:r>
        <w:rPr>
          <w:rFonts w:hint="cs"/>
          <w:rtl/>
        </w:rPr>
        <w:br/>
      </w:r>
      <w:r w:rsidRPr="000751CF">
        <w:rPr>
          <w:rFonts w:hint="cs"/>
          <w:b/>
          <w:bCs/>
          <w:rtl/>
        </w:rPr>
        <w:t>הריני נזיר מחרצן</w:t>
      </w:r>
      <w:r>
        <w:rPr>
          <w:rFonts w:hint="cs"/>
          <w:rtl/>
        </w:rPr>
        <w:t xml:space="preserve"> </w:t>
      </w:r>
      <w:r>
        <w:rPr>
          <w:rtl/>
        </w:rPr>
        <w:t>–</w:t>
      </w:r>
      <w:r>
        <w:rPr>
          <w:rFonts w:hint="cs"/>
          <w:rtl/>
        </w:rPr>
        <w:t xml:space="preserve"> לרבנן הריהו נזיר גמור, לר"ש אינו נזיר.</w:t>
      </w:r>
    </w:p>
    <w:p w:rsidR="00F06D49" w:rsidRPr="000751CF" w:rsidRDefault="00F06D49" w:rsidP="00F06D49">
      <w:pPr>
        <w:rPr>
          <w:rFonts w:hint="cs"/>
          <w:b/>
          <w:bCs/>
          <w:i/>
          <w:iCs/>
          <w:rtl/>
        </w:rPr>
      </w:pPr>
      <w:r w:rsidRPr="000751CF">
        <w:rPr>
          <w:rFonts w:hint="cs"/>
          <w:b/>
          <w:bCs/>
          <w:i/>
          <w:iCs/>
          <w:rtl/>
        </w:rPr>
        <w:t>ד:</w:t>
      </w:r>
    </w:p>
    <w:p w:rsidR="00F06D49" w:rsidRDefault="00F06D49" w:rsidP="00F06D49">
      <w:pPr>
        <w:rPr>
          <w:rFonts w:hint="cs"/>
          <w:rtl/>
        </w:rPr>
      </w:pPr>
      <w:r w:rsidRPr="000751CF">
        <w:rPr>
          <w:rFonts w:hint="cs"/>
          <w:b/>
          <w:bCs/>
          <w:rtl/>
        </w:rPr>
        <w:t>חטאת יולדת</w:t>
      </w:r>
      <w:r>
        <w:rPr>
          <w:rFonts w:hint="cs"/>
          <w:rtl/>
        </w:rPr>
        <w:t xml:space="preserve"> </w:t>
      </w:r>
      <w:r>
        <w:rPr>
          <w:rtl/>
        </w:rPr>
        <w:t>–</w:t>
      </w:r>
      <w:r>
        <w:rPr>
          <w:rFonts w:hint="cs"/>
          <w:rtl/>
        </w:rPr>
        <w:t xml:space="preserve"> עוברין עליה בבל תאחר</w:t>
      </w:r>
      <w:r>
        <w:rPr>
          <w:rStyle w:val="a5"/>
          <w:rtl/>
        </w:rPr>
        <w:footnoteReference w:id="6"/>
      </w:r>
      <w:r>
        <w:rPr>
          <w:rFonts w:hint="cs"/>
          <w:rtl/>
        </w:rPr>
        <w:t>. ומעכבתה מלאכול בקדשים.</w:t>
      </w:r>
      <w:r>
        <w:rPr>
          <w:rStyle w:val="a5"/>
          <w:rtl/>
        </w:rPr>
        <w:footnoteReference w:id="7"/>
      </w:r>
    </w:p>
    <w:p w:rsidR="00F06D49" w:rsidRDefault="00F06D49" w:rsidP="00F06D49">
      <w:pPr>
        <w:rPr>
          <w:rFonts w:hint="cs"/>
          <w:rtl/>
        </w:rPr>
      </w:pPr>
      <w:r w:rsidRPr="000751CF">
        <w:rPr>
          <w:rFonts w:hint="cs"/>
          <w:b/>
          <w:bCs/>
          <w:rtl/>
        </w:rPr>
        <w:t>סתם נדר</w:t>
      </w:r>
      <w:r>
        <w:rPr>
          <w:rFonts w:hint="cs"/>
          <w:rtl/>
        </w:rPr>
        <w:t xml:space="preserve"> - הוא לעולם</w:t>
      </w:r>
      <w:r>
        <w:rPr>
          <w:rStyle w:val="a5"/>
          <w:rtl/>
        </w:rPr>
        <w:footnoteReference w:id="8"/>
      </w:r>
      <w:r>
        <w:rPr>
          <w:rFonts w:hint="cs"/>
          <w:rtl/>
        </w:rPr>
        <w:t xml:space="preserve">. </w:t>
      </w:r>
      <w:r w:rsidRPr="000751CF">
        <w:rPr>
          <w:rFonts w:hint="cs"/>
          <w:b/>
          <w:bCs/>
          <w:rtl/>
        </w:rPr>
        <w:t>סתם נזירות</w:t>
      </w:r>
      <w:r>
        <w:rPr>
          <w:rFonts w:hint="cs"/>
          <w:rtl/>
        </w:rPr>
        <w:t xml:space="preserve"> </w:t>
      </w:r>
      <w:r>
        <w:rPr>
          <w:rtl/>
        </w:rPr>
        <w:t>–</w:t>
      </w:r>
      <w:r>
        <w:rPr>
          <w:rFonts w:hint="cs"/>
          <w:rtl/>
        </w:rPr>
        <w:t xml:space="preserve"> ל' יום.</w:t>
      </w:r>
      <w:r>
        <w:rPr>
          <w:rFonts w:hint="cs"/>
          <w:rtl/>
        </w:rPr>
        <w:br/>
      </w:r>
      <w:r w:rsidRPr="000751CF">
        <w:rPr>
          <w:rFonts w:hint="cs"/>
          <w:b/>
          <w:bCs/>
          <w:rtl/>
        </w:rPr>
        <w:t>ידות נדרים</w:t>
      </w:r>
      <w:r>
        <w:rPr>
          <w:rFonts w:hint="cs"/>
          <w:rtl/>
        </w:rPr>
        <w:t xml:space="preserve"> </w:t>
      </w:r>
      <w:r>
        <w:rPr>
          <w:rtl/>
        </w:rPr>
        <w:t>–</w:t>
      </w:r>
      <w:r>
        <w:rPr>
          <w:rFonts w:hint="cs"/>
          <w:rtl/>
        </w:rPr>
        <w:t xml:space="preserve"> לוקין עליהם.</w:t>
      </w:r>
      <w:r>
        <w:rPr>
          <w:rStyle w:val="a5"/>
          <w:rtl/>
        </w:rPr>
        <w:footnoteReference w:id="9"/>
      </w:r>
    </w:p>
    <w:p w:rsidR="00CC6452" w:rsidRDefault="00F06D49" w:rsidP="00F06D49">
      <w:r w:rsidRPr="000751CF">
        <w:rPr>
          <w:rFonts w:hint="cs"/>
          <w:b/>
          <w:bCs/>
          <w:rtl/>
        </w:rPr>
        <w:t>האומר מודרני ממך</w:t>
      </w:r>
      <w:r>
        <w:rPr>
          <w:rFonts w:hint="cs"/>
          <w:rtl/>
        </w:rPr>
        <w:t xml:space="preserve"> </w:t>
      </w:r>
      <w:r>
        <w:rPr>
          <w:rtl/>
        </w:rPr>
        <w:t>–</w:t>
      </w:r>
      <w:r>
        <w:rPr>
          <w:rFonts w:hint="cs"/>
          <w:rtl/>
        </w:rPr>
        <w:t xml:space="preserve"> חל מדין יד, ושניהם אסורין.</w:t>
      </w:r>
      <w:r>
        <w:rPr>
          <w:rStyle w:val="a5"/>
          <w:rtl/>
        </w:rPr>
        <w:footnoteReference w:id="10"/>
      </w:r>
      <w:r>
        <w:rPr>
          <w:rFonts w:hint="cs"/>
          <w:rtl/>
        </w:rPr>
        <w:t xml:space="preserve"> וכן מופרשני ממך או מרוחקני ממך.</w:t>
      </w:r>
      <w:r>
        <w:rPr>
          <w:rStyle w:val="a5"/>
          <w:rtl/>
        </w:rPr>
        <w:footnoteReference w:id="11"/>
      </w:r>
      <w:r>
        <w:rPr>
          <w:rtl/>
        </w:rPr>
        <w:br/>
      </w:r>
      <w:r w:rsidRPr="000751CF">
        <w:rPr>
          <w:rFonts w:hint="cs"/>
          <w:b/>
          <w:bCs/>
          <w:rtl/>
        </w:rPr>
        <w:t>האומר שאני אוכל לך</w:t>
      </w:r>
      <w:r>
        <w:rPr>
          <w:rStyle w:val="a5"/>
          <w:rtl/>
        </w:rPr>
        <w:footnoteReference w:id="12"/>
      </w:r>
      <w:r>
        <w:rPr>
          <w:rFonts w:hint="cs"/>
          <w:rtl/>
        </w:rPr>
        <w:t xml:space="preserve"> </w:t>
      </w:r>
      <w:r>
        <w:rPr>
          <w:rtl/>
        </w:rPr>
        <w:t>–</w:t>
      </w:r>
      <w:r>
        <w:rPr>
          <w:rFonts w:hint="cs"/>
          <w:rtl/>
        </w:rPr>
        <w:t xml:space="preserve"> אם אמר קונם, הרי זה נדר גמור. אם לא אמר קונם, הרי זה יד לנדרים.</w:t>
      </w:r>
      <w:r>
        <w:rPr>
          <w:rtl/>
        </w:rPr>
        <w:br/>
      </w:r>
      <w:r w:rsidRPr="000751CF">
        <w:rPr>
          <w:rFonts w:hint="cs"/>
          <w:b/>
          <w:bCs/>
          <w:rtl/>
        </w:rPr>
        <w:t>האומר שאיני אוכל לך</w:t>
      </w:r>
      <w:r>
        <w:rPr>
          <w:rFonts w:hint="cs"/>
          <w:rtl/>
        </w:rPr>
        <w:t xml:space="preserve"> </w:t>
      </w:r>
      <w:r>
        <w:rPr>
          <w:rtl/>
        </w:rPr>
        <w:t>–</w:t>
      </w:r>
      <w:r>
        <w:rPr>
          <w:rFonts w:hint="cs"/>
          <w:rtl/>
        </w:rPr>
        <w:t xml:space="preserve"> אם לא אמר קונם ה"ז יד לשבועה, אמר קונם ה"ז יד לנדר.</w:t>
      </w:r>
      <w:r>
        <w:rPr>
          <w:rStyle w:val="a5"/>
          <w:rtl/>
        </w:rPr>
        <w:footnoteReference w:id="13"/>
      </w:r>
      <w:r>
        <w:rPr>
          <w:rtl/>
        </w:rPr>
        <w:br/>
      </w:r>
      <w:r w:rsidRPr="000751CF">
        <w:rPr>
          <w:rFonts w:hint="cs"/>
          <w:b/>
          <w:bCs/>
          <w:rtl/>
        </w:rPr>
        <w:t>שאני אוכל לך או שאני טועם לך</w:t>
      </w:r>
      <w:r>
        <w:rPr>
          <w:rFonts w:hint="cs"/>
          <w:rtl/>
        </w:rPr>
        <w:t xml:space="preserve"> </w:t>
      </w:r>
      <w:r>
        <w:rPr>
          <w:rtl/>
        </w:rPr>
        <w:t>–</w:t>
      </w:r>
      <w:r>
        <w:rPr>
          <w:rFonts w:hint="cs"/>
          <w:rtl/>
        </w:rPr>
        <w:t xml:space="preserve"> הוא אסור וחבירו מותר.</w:t>
      </w:r>
      <w:r>
        <w:rPr>
          <w:rtl/>
        </w:rPr>
        <w:br/>
      </w:r>
      <w:r w:rsidRPr="000751CF">
        <w:rPr>
          <w:rFonts w:hint="cs"/>
          <w:b/>
          <w:bCs/>
          <w:rtl/>
        </w:rPr>
        <w:t>האומר מודרני ממך שאני אוכל לך</w:t>
      </w:r>
      <w:r>
        <w:rPr>
          <w:rFonts w:hint="cs"/>
          <w:rtl/>
        </w:rPr>
        <w:t xml:space="preserve"> </w:t>
      </w:r>
      <w:r>
        <w:rPr>
          <w:rtl/>
        </w:rPr>
        <w:t>–</w:t>
      </w:r>
      <w:r>
        <w:rPr>
          <w:rFonts w:hint="cs"/>
          <w:rtl/>
        </w:rPr>
        <w:t xml:space="preserve"> דינו כמו שאני אוכל לך.</w:t>
      </w:r>
      <w:r>
        <w:rPr>
          <w:rStyle w:val="a5"/>
          <w:rtl/>
        </w:rPr>
        <w:footnoteReference w:id="14"/>
      </w:r>
      <w:r>
        <w:rPr>
          <w:rFonts w:hint="cs"/>
          <w:rtl/>
        </w:rPr>
        <w:t xml:space="preserve"> </w:t>
      </w:r>
      <w:r>
        <w:rPr>
          <w:rFonts w:hint="cs"/>
          <w:rtl/>
        </w:rPr>
        <w:br/>
      </w:r>
    </w:p>
    <w:sectPr w:rsidR="00CC6452" w:rsidSect="00BF1BCC">
      <w:pgSz w:w="11907" w:h="16839" w:code="9"/>
      <w:pgMar w:top="1440" w:right="1797" w:bottom="1440" w:left="179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DC9" w:rsidRDefault="00B96DC9" w:rsidP="00F06D49">
      <w:pPr>
        <w:spacing w:after="0" w:line="240" w:lineRule="auto"/>
      </w:pPr>
      <w:r>
        <w:separator/>
      </w:r>
    </w:p>
  </w:endnote>
  <w:endnote w:type="continuationSeparator" w:id="0">
    <w:p w:rsidR="00B96DC9" w:rsidRDefault="00B96DC9" w:rsidP="00F06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DC9" w:rsidRDefault="00B96DC9" w:rsidP="00F06D49">
      <w:pPr>
        <w:spacing w:after="0" w:line="240" w:lineRule="auto"/>
      </w:pPr>
      <w:r>
        <w:separator/>
      </w:r>
    </w:p>
  </w:footnote>
  <w:footnote w:type="continuationSeparator" w:id="0">
    <w:p w:rsidR="00B96DC9" w:rsidRDefault="00B96DC9" w:rsidP="00F06D49">
      <w:pPr>
        <w:spacing w:after="0" w:line="240" w:lineRule="auto"/>
      </w:pPr>
      <w:r>
        <w:continuationSeparator/>
      </w:r>
    </w:p>
  </w:footnote>
  <w:footnote w:id="1">
    <w:p w:rsidR="00F06D49" w:rsidRDefault="00F06D49" w:rsidP="00F06D49">
      <w:pPr>
        <w:pStyle w:val="a3"/>
        <w:rPr>
          <w:rFonts w:hint="cs"/>
        </w:rPr>
      </w:pPr>
      <w:r>
        <w:rPr>
          <w:rStyle w:val="a5"/>
        </w:rPr>
        <w:footnoteRef/>
      </w:r>
      <w:r>
        <w:rPr>
          <w:rtl/>
        </w:rPr>
        <w:t xml:space="preserve"> </w:t>
      </w:r>
      <w:r>
        <w:rPr>
          <w:rFonts w:hint="cs"/>
          <w:rtl/>
        </w:rPr>
        <w:t>דל"ק ס"ל לר"ל דלא חייל ולכן לא לוקה, ולמר בר"א מודה ר"ל דחייל ורק ממלקות פטר ליה.</w:t>
      </w:r>
    </w:p>
  </w:footnote>
  <w:footnote w:id="2">
    <w:p w:rsidR="00F06D49" w:rsidRDefault="00F06D49" w:rsidP="00F06D49">
      <w:pPr>
        <w:pStyle w:val="a3"/>
        <w:rPr>
          <w:rFonts w:hint="cs"/>
        </w:rPr>
      </w:pPr>
      <w:r>
        <w:rPr>
          <w:rStyle w:val="a5"/>
        </w:rPr>
        <w:footnoteRef/>
      </w:r>
      <w:r>
        <w:rPr>
          <w:rtl/>
        </w:rPr>
        <w:t xml:space="preserve"> </w:t>
      </w:r>
      <w:r>
        <w:rPr>
          <w:rFonts w:hint="cs"/>
          <w:rtl/>
        </w:rPr>
        <w:t>כיון דמאחר נזירות טהרה. ומשמע דכו"ע מודו לדינא לתירוצא דראב"י.</w:t>
      </w:r>
    </w:p>
  </w:footnote>
  <w:footnote w:id="3">
    <w:p w:rsidR="00F06D49" w:rsidRDefault="00F06D49" w:rsidP="00F06D49">
      <w:pPr>
        <w:pStyle w:val="a3"/>
        <w:rPr>
          <w:rFonts w:hint="cs"/>
        </w:rPr>
      </w:pPr>
      <w:r>
        <w:rPr>
          <w:rStyle w:val="a5"/>
        </w:rPr>
        <w:footnoteRef/>
      </w:r>
      <w:r>
        <w:rPr>
          <w:rtl/>
        </w:rPr>
        <w:t xml:space="preserve"> </w:t>
      </w:r>
      <w:r>
        <w:rPr>
          <w:rFonts w:hint="cs"/>
          <w:rtl/>
        </w:rPr>
        <w:t>לכאורה אף אם נטמא בשוגג, אבל מתעכב מלהיטהר ולהתחיל נזירות טהרה. ויל"ע בזה.</w:t>
      </w:r>
    </w:p>
  </w:footnote>
  <w:footnote w:id="4">
    <w:p w:rsidR="00F06D49" w:rsidRDefault="00F06D49" w:rsidP="00F06D49">
      <w:pPr>
        <w:pStyle w:val="a3"/>
        <w:rPr>
          <w:rFonts w:hint="cs"/>
        </w:rPr>
      </w:pPr>
      <w:r>
        <w:rPr>
          <w:rStyle w:val="a5"/>
        </w:rPr>
        <w:footnoteRef/>
      </w:r>
      <w:r>
        <w:rPr>
          <w:rtl/>
        </w:rPr>
        <w:t xml:space="preserve"> </w:t>
      </w:r>
      <w:r>
        <w:rPr>
          <w:rFonts w:hint="cs"/>
          <w:rtl/>
        </w:rPr>
        <w:t>משום עיכוב מצות הגילוח לכשעצמה, אף דאינה חלק ממש מניהוג הנזירות, שהרי כבר הותר ביין. וקצת יל"ע אי רבותא מיוחדת זו היא רק לרב אחא בריה דר"א.</w:t>
      </w:r>
    </w:p>
  </w:footnote>
  <w:footnote w:id="5">
    <w:p w:rsidR="00F06D49" w:rsidRDefault="00F06D49" w:rsidP="00F06D49">
      <w:pPr>
        <w:pStyle w:val="a3"/>
        <w:rPr>
          <w:rFonts w:hint="cs"/>
          <w:rtl/>
        </w:rPr>
      </w:pPr>
      <w:r>
        <w:rPr>
          <w:rStyle w:val="a5"/>
        </w:rPr>
        <w:footnoteRef/>
      </w:r>
      <w:r>
        <w:rPr>
          <w:rtl/>
        </w:rPr>
        <w:t xml:space="preserve"> </w:t>
      </w:r>
      <w:r>
        <w:rPr>
          <w:rFonts w:hint="cs"/>
          <w:rtl/>
        </w:rPr>
        <w:t>ובסוגיא האריכו מדוע ס"ד שייגרע משאר חטאות ואשמות.</w:t>
      </w:r>
    </w:p>
  </w:footnote>
  <w:footnote w:id="6">
    <w:p w:rsidR="00F06D49" w:rsidRDefault="00F06D49" w:rsidP="00F06D49">
      <w:pPr>
        <w:pStyle w:val="a3"/>
        <w:rPr>
          <w:rFonts w:hint="cs"/>
        </w:rPr>
      </w:pPr>
      <w:r>
        <w:rPr>
          <w:rStyle w:val="a5"/>
        </w:rPr>
        <w:footnoteRef/>
      </w:r>
      <w:r>
        <w:rPr>
          <w:rtl/>
        </w:rPr>
        <w:t xml:space="preserve"> </w:t>
      </w:r>
      <w:r>
        <w:rPr>
          <w:rFonts w:hint="cs"/>
          <w:rtl/>
        </w:rPr>
        <w:t>אע"פ שאינה באה לכפרה, ואף למ"ד יולדת חוטאת, מ"מ חייבת גם כשיודעת שלא נשבעה כלום. ובגמרא משמע דזה פשיטא דכלולה בבל תאחר, ובגה"ש תמה מדוע זה יותר פשיטא מחטאת נזיר. וכמדומה דתמיהתו רק לס"ד, אבל למסק' פשיטא לן משום דמתירתה בקדשים.</w:t>
      </w:r>
    </w:p>
  </w:footnote>
  <w:footnote w:id="7">
    <w:p w:rsidR="00F06D49" w:rsidRDefault="00F06D49" w:rsidP="00F06D49">
      <w:pPr>
        <w:pStyle w:val="a3"/>
        <w:rPr>
          <w:rFonts w:hint="cs"/>
        </w:rPr>
      </w:pPr>
      <w:r>
        <w:rPr>
          <w:rStyle w:val="a5"/>
        </w:rPr>
        <w:footnoteRef/>
      </w:r>
      <w:r>
        <w:rPr>
          <w:rtl/>
        </w:rPr>
        <w:t xml:space="preserve"> </w:t>
      </w:r>
      <w:r>
        <w:rPr>
          <w:rFonts w:hint="cs"/>
          <w:rtl/>
        </w:rPr>
        <w:t>אשה חייבת באכילת פסחים.</w:t>
      </w:r>
    </w:p>
  </w:footnote>
  <w:footnote w:id="8">
    <w:p w:rsidR="00F06D49" w:rsidRDefault="00F06D49" w:rsidP="00F06D49">
      <w:pPr>
        <w:pStyle w:val="a3"/>
        <w:rPr>
          <w:rFonts w:hint="cs"/>
          <w:rtl/>
        </w:rPr>
      </w:pPr>
      <w:r>
        <w:rPr>
          <w:rStyle w:val="a5"/>
        </w:rPr>
        <w:footnoteRef/>
      </w:r>
      <w:r>
        <w:rPr>
          <w:rtl/>
        </w:rPr>
        <w:t xml:space="preserve"> </w:t>
      </w:r>
      <w:r>
        <w:rPr>
          <w:rFonts w:hint="cs"/>
          <w:rtl/>
        </w:rPr>
        <w:t>אף נדרי איסור. וא"צ לומר דנדרי הקדש חלים לעולם.</w:t>
      </w:r>
    </w:p>
  </w:footnote>
  <w:footnote w:id="9">
    <w:p w:rsidR="00F06D49" w:rsidRDefault="00F06D49" w:rsidP="00F06D49">
      <w:pPr>
        <w:pStyle w:val="a3"/>
        <w:rPr>
          <w:rFonts w:hint="cs"/>
        </w:rPr>
      </w:pPr>
      <w:r>
        <w:rPr>
          <w:rStyle w:val="a5"/>
        </w:rPr>
        <w:footnoteRef/>
      </w:r>
      <w:r>
        <w:rPr>
          <w:rtl/>
        </w:rPr>
        <w:t xml:space="preserve"> </w:t>
      </w:r>
      <w:r>
        <w:rPr>
          <w:rFonts w:hint="cs"/>
          <w:rtl/>
        </w:rPr>
        <w:t>עי' בר"ן דעל מילתא דאתיא ממה מצינו אין עונשין. ומהר"ב ורעק"א מציינים למשנ"ל הל' נזירות דמספק"ל בזה ואישתמיטתיה להר"ן. ומילתא דאתיא בהיקישא עונשין עליו.</w:t>
      </w:r>
    </w:p>
  </w:footnote>
  <w:footnote w:id="10">
    <w:p w:rsidR="00F06D49" w:rsidRDefault="00F06D49" w:rsidP="00F06D49">
      <w:pPr>
        <w:pStyle w:val="a3"/>
        <w:rPr>
          <w:rFonts w:hint="cs"/>
        </w:rPr>
      </w:pPr>
      <w:r>
        <w:rPr>
          <w:rStyle w:val="a5"/>
        </w:rPr>
        <w:footnoteRef/>
      </w:r>
      <w:r>
        <w:rPr>
          <w:rtl/>
        </w:rPr>
        <w:t xml:space="preserve"> </w:t>
      </w:r>
      <w:r>
        <w:rPr>
          <w:rFonts w:hint="cs"/>
          <w:rtl/>
        </w:rPr>
        <w:t>עי' הטעם בר"ן, ומ"מ משמע בפשטות דחבירו אסור ליהנות גם ממנו עצמו ולא רק מנכסיו.</w:t>
      </w:r>
    </w:p>
  </w:footnote>
  <w:footnote w:id="11">
    <w:p w:rsidR="00F06D49" w:rsidRDefault="00F06D49" w:rsidP="00F06D49">
      <w:pPr>
        <w:pStyle w:val="a3"/>
        <w:rPr>
          <w:rFonts w:hint="cs"/>
        </w:rPr>
      </w:pPr>
      <w:r>
        <w:rPr>
          <w:rStyle w:val="a5"/>
        </w:rPr>
        <w:footnoteRef/>
      </w:r>
      <w:r>
        <w:rPr>
          <w:rtl/>
        </w:rPr>
        <w:t xml:space="preserve"> </w:t>
      </w:r>
      <w:r>
        <w:rPr>
          <w:rFonts w:hint="cs"/>
          <w:rtl/>
        </w:rPr>
        <w:t>אף דריב"ח אמרה רק על מודרני, אבל לפירוש שמואל למסקנה מוכח דה"ה בהנך.</w:t>
      </w:r>
    </w:p>
  </w:footnote>
  <w:footnote w:id="12">
    <w:p w:rsidR="00F06D49" w:rsidRDefault="00F06D49" w:rsidP="00F06D49">
      <w:pPr>
        <w:pStyle w:val="a3"/>
        <w:rPr>
          <w:rFonts w:hint="cs"/>
        </w:rPr>
      </w:pPr>
      <w:r>
        <w:rPr>
          <w:rStyle w:val="a5"/>
        </w:rPr>
        <w:footnoteRef/>
      </w:r>
      <w:r>
        <w:rPr>
          <w:rtl/>
        </w:rPr>
        <w:t xml:space="preserve"> </w:t>
      </w:r>
      <w:r>
        <w:rPr>
          <w:rFonts w:hint="cs"/>
          <w:rtl/>
        </w:rPr>
        <w:t>והוא הדין בשאני טועם לך.</w:t>
      </w:r>
    </w:p>
  </w:footnote>
  <w:footnote w:id="13">
    <w:p w:rsidR="00F06D49" w:rsidRDefault="00F06D49" w:rsidP="00F06D49">
      <w:pPr>
        <w:pStyle w:val="a3"/>
        <w:rPr>
          <w:rFonts w:hint="cs"/>
        </w:rPr>
      </w:pPr>
      <w:r>
        <w:rPr>
          <w:rStyle w:val="a5"/>
        </w:rPr>
        <w:footnoteRef/>
      </w:r>
      <w:r>
        <w:rPr>
          <w:rtl/>
        </w:rPr>
        <w:t xml:space="preserve"> </w:t>
      </w:r>
      <w:r>
        <w:rPr>
          <w:rFonts w:hint="cs"/>
          <w:rtl/>
        </w:rPr>
        <w:t>כ"כ הר"ן כאן. וכבר העירו דזו שיטת הרמב"ן לעיל ב: אבל הר"ן עצמו מכריע דכה"ג דקונם שאיני אוכל הוי נדר בלשון שבועה ולא חל כלל. (אלא דכתב הרא"ש לעיל דבעי התרה שלא יקילו בנדרים והעתיקו בשו"ע).</w:t>
      </w:r>
    </w:p>
  </w:footnote>
  <w:footnote w:id="14">
    <w:p w:rsidR="00F06D49" w:rsidRDefault="00F06D49" w:rsidP="00F06D49">
      <w:pPr>
        <w:pStyle w:val="a3"/>
        <w:rPr>
          <w:rFonts w:hint="cs"/>
        </w:rPr>
      </w:pPr>
      <w:r>
        <w:rPr>
          <w:rStyle w:val="a5"/>
        </w:rPr>
        <w:footnoteRef/>
      </w:r>
      <w:r>
        <w:rPr>
          <w:rtl/>
        </w:rPr>
        <w:t xml:space="preserve"> </w:t>
      </w:r>
      <w:r>
        <w:rPr>
          <w:rFonts w:hint="cs"/>
          <w:rtl/>
        </w:rPr>
        <w:t>דהיינו שרק הוא אסור, והוי יד, עי' בר"ן במשנה שנדחק קצת מדוע אינו נדר גמור.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F06D49"/>
    <w:rsid w:val="000378D4"/>
    <w:rsid w:val="00240196"/>
    <w:rsid w:val="00294D17"/>
    <w:rsid w:val="005A5BAA"/>
    <w:rsid w:val="00972943"/>
    <w:rsid w:val="00AF7868"/>
    <w:rsid w:val="00B96DC9"/>
    <w:rsid w:val="00BF1BCC"/>
    <w:rsid w:val="00C346B2"/>
    <w:rsid w:val="00CC6452"/>
    <w:rsid w:val="00F06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06D49"/>
    <w:pPr>
      <w:spacing w:after="0" w:line="240" w:lineRule="auto"/>
    </w:pPr>
    <w:rPr>
      <w:sz w:val="20"/>
      <w:szCs w:val="20"/>
    </w:rPr>
  </w:style>
  <w:style w:type="character" w:customStyle="1" w:styleId="a4">
    <w:name w:val="טקסט הערת שוליים תו"/>
    <w:basedOn w:val="a0"/>
    <w:link w:val="a3"/>
    <w:uiPriority w:val="99"/>
    <w:semiHidden/>
    <w:rsid w:val="00F06D49"/>
    <w:rPr>
      <w:sz w:val="20"/>
      <w:szCs w:val="20"/>
    </w:rPr>
  </w:style>
  <w:style w:type="character" w:styleId="a5">
    <w:name w:val="footnote reference"/>
    <w:basedOn w:val="a0"/>
    <w:uiPriority w:val="99"/>
    <w:semiHidden/>
    <w:unhideWhenUsed/>
    <w:rsid w:val="00F06D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992</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2015-05-28T20:50:00Z</dcterms:created>
  <dcterms:modified xsi:type="dcterms:W3CDTF">2015-05-28T20:50:00Z</dcterms:modified>
</cp:coreProperties>
</file>