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1634C" w14:textId="77777777" w:rsidR="004A5E4F" w:rsidRDefault="004A5E4F" w:rsidP="004A5E4F">
      <w:pPr>
        <w:rPr>
          <w:rFonts w:asciiTheme="majorBidi" w:hAnsiTheme="majorBidi" w:cstheme="majorBidi"/>
          <w:b/>
          <w:bCs/>
          <w:sz w:val="28"/>
          <w:szCs w:val="28"/>
          <w:u w:val="single"/>
        </w:rPr>
      </w:pPr>
      <w:r w:rsidRPr="005402C2">
        <w:rPr>
          <w:rFonts w:asciiTheme="majorBidi" w:hAnsiTheme="majorBidi" w:cstheme="majorBidi" w:hint="cs"/>
          <w:b/>
          <w:bCs/>
          <w:sz w:val="36"/>
          <w:szCs w:val="36"/>
          <w:rtl/>
        </w:rPr>
        <w:t xml:space="preserve">ערכין  </w:t>
      </w:r>
      <w:r>
        <w:rPr>
          <w:rFonts w:asciiTheme="majorBidi" w:hAnsiTheme="majorBidi" w:cstheme="majorBidi" w:hint="cs"/>
          <w:b/>
          <w:bCs/>
          <w:sz w:val="28"/>
          <w:szCs w:val="28"/>
          <w:rtl/>
        </w:rPr>
        <w:t xml:space="preserve">                    </w:t>
      </w:r>
      <w:r>
        <w:rPr>
          <w:rFonts w:asciiTheme="majorBidi" w:hAnsiTheme="majorBidi" w:cstheme="majorBidi"/>
          <w:b/>
          <w:bCs/>
          <w:sz w:val="28"/>
          <w:szCs w:val="28"/>
          <w:u w:val="single"/>
          <w:rtl/>
        </w:rPr>
        <w:t>בעל חוב מאוחר שקדם וגבה</w:t>
      </w:r>
    </w:p>
    <w:p w14:paraId="441B37E5" w14:textId="77777777" w:rsidR="004A5E4F" w:rsidRDefault="004A5E4F" w:rsidP="004A5E4F">
      <w:pPr>
        <w:rPr>
          <w:rFonts w:asciiTheme="majorBidi" w:hAnsiTheme="majorBidi" w:cs="Times New Roman"/>
          <w:sz w:val="24"/>
          <w:szCs w:val="24"/>
          <w:rtl/>
        </w:rPr>
      </w:pPr>
    </w:p>
    <w:p w14:paraId="633C2B80" w14:textId="77777777" w:rsidR="004A5E4F" w:rsidRDefault="004A5E4F" w:rsidP="004A5E4F">
      <w:pPr>
        <w:rPr>
          <w:rFonts w:asciiTheme="majorBidi" w:hAnsiTheme="majorBidi" w:cstheme="majorBidi"/>
          <w:sz w:val="24"/>
          <w:szCs w:val="24"/>
          <w:rtl/>
        </w:rPr>
      </w:pPr>
      <w:r>
        <w:rPr>
          <w:rFonts w:asciiTheme="majorBidi" w:hAnsiTheme="majorBidi" w:cs="Times New Roman"/>
          <w:sz w:val="24"/>
          <w:szCs w:val="24"/>
          <w:rtl/>
        </w:rPr>
        <w:t>ערכין ז, ב</w:t>
      </w:r>
    </w:p>
    <w:p w14:paraId="165DA924" w14:textId="77777777" w:rsidR="004A5E4F" w:rsidRDefault="004A5E4F" w:rsidP="004A5E4F">
      <w:pPr>
        <w:ind w:left="360"/>
        <w:rPr>
          <w:rFonts w:asciiTheme="majorBidi" w:hAnsiTheme="majorBidi" w:cstheme="majorBidi"/>
          <w:sz w:val="24"/>
          <w:szCs w:val="24"/>
          <w:rtl/>
        </w:rPr>
      </w:pPr>
      <w:proofErr w:type="spellStart"/>
      <w:r>
        <w:rPr>
          <w:rFonts w:asciiTheme="majorBidi" w:hAnsiTheme="majorBidi" w:cs="Times New Roman"/>
          <w:sz w:val="24"/>
          <w:szCs w:val="24"/>
          <w:rtl/>
        </w:rPr>
        <w:t>א"ר</w:t>
      </w:r>
      <w:proofErr w:type="spellEnd"/>
      <w:r>
        <w:rPr>
          <w:rFonts w:asciiTheme="majorBidi" w:hAnsiTheme="majorBidi" w:cs="Times New Roman"/>
          <w:sz w:val="24"/>
          <w:szCs w:val="24"/>
          <w:rtl/>
        </w:rPr>
        <w:t xml:space="preserve"> </w:t>
      </w:r>
      <w:proofErr w:type="spellStart"/>
      <w:r>
        <w:rPr>
          <w:rFonts w:asciiTheme="majorBidi" w:hAnsiTheme="majorBidi" w:cs="Times New Roman"/>
          <w:sz w:val="24"/>
          <w:szCs w:val="24"/>
          <w:rtl/>
        </w:rPr>
        <w:t>אדא</w:t>
      </w:r>
      <w:proofErr w:type="spellEnd"/>
      <w:r>
        <w:rPr>
          <w:rFonts w:asciiTheme="majorBidi" w:hAnsiTheme="majorBidi" w:cs="Times New Roman"/>
          <w:sz w:val="24"/>
          <w:szCs w:val="24"/>
          <w:rtl/>
        </w:rPr>
        <w:t xml:space="preserve"> בר אהבה: היו בידיו חמש סלעים ואמר ערכי עלי, וחזר ואמר ערכי עלי, ונתן ארבע </w:t>
      </w:r>
      <w:proofErr w:type="spellStart"/>
      <w:r>
        <w:rPr>
          <w:rFonts w:asciiTheme="majorBidi" w:hAnsiTheme="majorBidi" w:cs="Times New Roman"/>
          <w:sz w:val="24"/>
          <w:szCs w:val="24"/>
          <w:rtl/>
        </w:rPr>
        <w:t>לשניה</w:t>
      </w:r>
      <w:proofErr w:type="spellEnd"/>
      <w:r>
        <w:rPr>
          <w:rFonts w:asciiTheme="majorBidi" w:hAnsiTheme="majorBidi" w:cs="Times New Roman"/>
          <w:sz w:val="24"/>
          <w:szCs w:val="24"/>
          <w:rtl/>
        </w:rPr>
        <w:t xml:space="preserve"> ואחד לראשונה - יצא ידי שתיהן, מ"ט? בעל חוב מאוחר שקדם וגבה - מה שגבה גבה, בעידנא </w:t>
      </w:r>
      <w:proofErr w:type="spellStart"/>
      <w:r>
        <w:rPr>
          <w:rFonts w:asciiTheme="majorBidi" w:hAnsiTheme="majorBidi" w:cs="Times New Roman"/>
          <w:sz w:val="24"/>
          <w:szCs w:val="24"/>
          <w:rtl/>
        </w:rPr>
        <w:t>דיהיב</w:t>
      </w:r>
      <w:proofErr w:type="spellEnd"/>
      <w:r>
        <w:rPr>
          <w:rFonts w:asciiTheme="majorBidi" w:hAnsiTheme="majorBidi" w:cs="Times New Roman"/>
          <w:sz w:val="24"/>
          <w:szCs w:val="24"/>
          <w:rtl/>
        </w:rPr>
        <w:t xml:space="preserve"> </w:t>
      </w:r>
      <w:proofErr w:type="spellStart"/>
      <w:r>
        <w:rPr>
          <w:rFonts w:asciiTheme="majorBidi" w:hAnsiTheme="majorBidi" w:cs="Times New Roman"/>
          <w:sz w:val="24"/>
          <w:szCs w:val="24"/>
          <w:rtl/>
        </w:rPr>
        <w:t>לשניה</w:t>
      </w:r>
      <w:proofErr w:type="spellEnd"/>
      <w:r>
        <w:rPr>
          <w:rFonts w:asciiTheme="majorBidi" w:hAnsiTheme="majorBidi" w:cs="Times New Roman"/>
          <w:sz w:val="24"/>
          <w:szCs w:val="24"/>
          <w:rtl/>
        </w:rPr>
        <w:t xml:space="preserve"> משעבד לראשונה, בעידנא </w:t>
      </w:r>
      <w:proofErr w:type="spellStart"/>
      <w:r>
        <w:rPr>
          <w:rFonts w:asciiTheme="majorBidi" w:hAnsiTheme="majorBidi" w:cs="Times New Roman"/>
          <w:sz w:val="24"/>
          <w:szCs w:val="24"/>
          <w:rtl/>
        </w:rPr>
        <w:t>דיהיב</w:t>
      </w:r>
      <w:proofErr w:type="spellEnd"/>
      <w:r>
        <w:rPr>
          <w:rFonts w:asciiTheme="majorBidi" w:hAnsiTheme="majorBidi" w:cs="Times New Roman"/>
          <w:sz w:val="24"/>
          <w:szCs w:val="24"/>
          <w:rtl/>
        </w:rPr>
        <w:t xml:space="preserve"> לראשונה תו לית ליה.</w:t>
      </w:r>
    </w:p>
    <w:p w14:paraId="222E832D" w14:textId="77777777" w:rsidR="004A5E4F" w:rsidRDefault="004A5E4F" w:rsidP="004A5E4F">
      <w:pPr>
        <w:pStyle w:val="a3"/>
        <w:numPr>
          <w:ilvl w:val="0"/>
          <w:numId w:val="3"/>
        </w:numPr>
        <w:spacing w:after="0" w:line="360" w:lineRule="auto"/>
        <w:rPr>
          <w:rFonts w:asciiTheme="majorBidi" w:hAnsiTheme="majorBidi" w:cstheme="majorBidi"/>
          <w:b/>
          <w:bCs/>
          <w:sz w:val="24"/>
          <w:szCs w:val="24"/>
          <w:rtl/>
        </w:rPr>
      </w:pPr>
      <w:r>
        <w:rPr>
          <w:rFonts w:asciiTheme="majorBidi" w:hAnsiTheme="majorBidi" w:cstheme="majorBidi"/>
          <w:b/>
          <w:bCs/>
          <w:sz w:val="24"/>
          <w:szCs w:val="24"/>
          <w:rtl/>
        </w:rPr>
        <w:t>סיכום הסוגיה</w:t>
      </w:r>
    </w:p>
    <w:p w14:paraId="6D6B188E" w14:textId="77777777" w:rsidR="004A5E4F" w:rsidRDefault="004A5E4F" w:rsidP="004A5E4F">
      <w:pPr>
        <w:rPr>
          <w:rFonts w:asciiTheme="minorBidi" w:hAnsiTheme="minorBidi"/>
          <w:rtl/>
        </w:rPr>
      </w:pPr>
      <w:r>
        <w:rPr>
          <w:rFonts w:asciiTheme="majorBidi" w:hAnsiTheme="majorBidi" w:cstheme="majorBidi"/>
          <w:sz w:val="24"/>
          <w:szCs w:val="24"/>
          <w:rtl/>
        </w:rPr>
        <w:t xml:space="preserve">אדם שנדר 'ערך פלוני עלי' מתחייב כלפי הקדש בסכום שנקבע על פי גיל ומגדר, על פי הנאמר בסוף פרשת </w:t>
      </w:r>
      <w:proofErr w:type="spellStart"/>
      <w:r>
        <w:rPr>
          <w:rFonts w:asciiTheme="majorBidi" w:hAnsiTheme="majorBidi" w:cstheme="majorBidi"/>
          <w:sz w:val="24"/>
          <w:szCs w:val="24"/>
          <w:rtl/>
        </w:rPr>
        <w:t>בחוקותי</w:t>
      </w:r>
      <w:proofErr w:type="spellEnd"/>
      <w:r>
        <w:rPr>
          <w:rFonts w:asciiTheme="majorBidi" w:hAnsiTheme="majorBidi" w:cstheme="majorBidi"/>
          <w:sz w:val="24"/>
          <w:szCs w:val="24"/>
          <w:rtl/>
        </w:rPr>
        <w:t xml:space="preserve">. אולם קיים גם מסלול תשלומים ייחודי: </w:t>
      </w:r>
    </w:p>
    <w:p w14:paraId="4099FD2B" w14:textId="77777777" w:rsidR="004A5E4F" w:rsidRDefault="004A5E4F" w:rsidP="004A5E4F">
      <w:pPr>
        <w:ind w:left="720"/>
        <w:rPr>
          <w:rFonts w:asciiTheme="minorBidi" w:hAnsiTheme="minorBidi"/>
          <w:rtl/>
        </w:rPr>
      </w:pPr>
      <w:r>
        <w:rPr>
          <w:rFonts w:asciiTheme="minorBidi" w:hAnsiTheme="minorBidi" w:cs="Arial"/>
          <w:rtl/>
        </w:rPr>
        <w:t>וְאִם מָךְ הוּא מֵעֶרְכֶּךָ וְהֶעֱמִידוֹ לִפְנֵי הַכֹּהֵן וְהֶעֱרִיךְ אֹתוֹ הַכֹּהֵן עַל פִּי אֲשֶׁר תַּשִּׂיג יַד הַנֹּדֵר יַעֲרִיכֶנּוּ הַכֹּהֵן</w:t>
      </w:r>
      <w:r>
        <w:rPr>
          <w:rStyle w:val="a6"/>
          <w:rFonts w:asciiTheme="minorBidi" w:hAnsiTheme="minorBidi"/>
          <w:rtl/>
        </w:rPr>
        <w:footnoteReference w:id="1"/>
      </w:r>
      <w:r>
        <w:rPr>
          <w:rFonts w:asciiTheme="minorBidi" w:hAnsiTheme="minorBidi"/>
          <w:rtl/>
        </w:rPr>
        <w:t xml:space="preserve">. </w:t>
      </w:r>
    </w:p>
    <w:p w14:paraId="6E921E94" w14:textId="77777777" w:rsidR="004A5E4F" w:rsidRDefault="004A5E4F" w:rsidP="004A5E4F">
      <w:pPr>
        <w:rPr>
          <w:rFonts w:asciiTheme="majorBidi" w:hAnsiTheme="majorBidi" w:cstheme="majorBidi"/>
          <w:sz w:val="24"/>
          <w:szCs w:val="24"/>
          <w:rtl/>
        </w:rPr>
      </w:pPr>
      <w:r>
        <w:rPr>
          <w:rFonts w:asciiTheme="majorBidi" w:hAnsiTheme="majorBidi" w:cstheme="majorBidi"/>
          <w:sz w:val="24"/>
          <w:szCs w:val="24"/>
          <w:rtl/>
        </w:rPr>
        <w:t xml:space="preserve">כלומר, מתאימים את התשלום ליכולתו הכלכלית, כפי שמבאר רש"י: </w:t>
      </w:r>
    </w:p>
    <w:p w14:paraId="76AC0A4D" w14:textId="77777777" w:rsidR="004A5E4F" w:rsidRDefault="004A5E4F" w:rsidP="004A5E4F">
      <w:pPr>
        <w:ind w:left="720"/>
        <w:rPr>
          <w:rFonts w:ascii="David" w:hAnsi="David" w:cs="David"/>
          <w:sz w:val="24"/>
          <w:szCs w:val="24"/>
          <w:rtl/>
        </w:rPr>
      </w:pPr>
      <w:r>
        <w:rPr>
          <w:rFonts w:ascii="David" w:hAnsi="David" w:cs="David"/>
          <w:sz w:val="24"/>
          <w:szCs w:val="24"/>
          <w:rtl/>
        </w:rPr>
        <w:t xml:space="preserve">ואם מך הוא - שאין ידו משגת ליתן הערך הזה: והעמידו - לנערך לפני הכהן ויעריכנו </w:t>
      </w:r>
      <w:r>
        <w:rPr>
          <w:rFonts w:ascii="David" w:hAnsi="David" w:cs="David"/>
          <w:b/>
          <w:bCs/>
          <w:sz w:val="24"/>
          <w:szCs w:val="24"/>
          <w:rtl/>
        </w:rPr>
        <w:t>לפי השגת ידו של מעריך</w:t>
      </w:r>
      <w:r>
        <w:rPr>
          <w:rFonts w:ascii="David" w:hAnsi="David" w:cs="David"/>
          <w:sz w:val="24"/>
          <w:szCs w:val="24"/>
          <w:rtl/>
        </w:rPr>
        <w:t>: על פי אשר תשיג - לפי מה שיש לו יסדרנו וישאיר לו כדי חייו</w:t>
      </w:r>
      <w:r>
        <w:rPr>
          <w:rStyle w:val="a6"/>
          <w:rFonts w:ascii="David" w:hAnsi="David" w:cs="David"/>
          <w:sz w:val="24"/>
          <w:szCs w:val="24"/>
          <w:rtl/>
        </w:rPr>
        <w:footnoteReference w:id="2"/>
      </w:r>
      <w:r>
        <w:rPr>
          <w:rFonts w:ascii="David" w:hAnsi="David" w:cs="David"/>
          <w:sz w:val="24"/>
          <w:szCs w:val="24"/>
          <w:rtl/>
        </w:rPr>
        <w:t>.</w:t>
      </w:r>
    </w:p>
    <w:p w14:paraId="41141399" w14:textId="77777777" w:rsidR="004A5E4F" w:rsidRDefault="004A5E4F" w:rsidP="004A5E4F">
      <w:pPr>
        <w:rPr>
          <w:rFonts w:ascii="David" w:hAnsi="David" w:cs="David"/>
          <w:sz w:val="24"/>
          <w:szCs w:val="24"/>
          <w:rtl/>
        </w:rPr>
      </w:pPr>
      <w:r>
        <w:rPr>
          <w:rFonts w:asciiTheme="majorBidi" w:hAnsiTheme="majorBidi" w:cstheme="majorBidi"/>
          <w:sz w:val="24"/>
          <w:szCs w:val="24"/>
          <w:rtl/>
        </w:rPr>
        <w:t xml:space="preserve">במשנה נחלקו חכמים ורבי מאיר מה דינו של אדם שהיו בידיו רק חמישה סלעים, והתחייב פעמיים. לפי רבי מאיר, מאחר שאין בידו את הסכום הנדרש, הרי הוא יורד לסכום המינימום של סלע. לפי חכמים </w:t>
      </w:r>
      <w:r>
        <w:rPr>
          <w:rFonts w:ascii="David" w:hAnsi="David" w:cs="David"/>
          <w:sz w:val="24"/>
          <w:szCs w:val="24"/>
          <w:rtl/>
        </w:rPr>
        <w:t xml:space="preserve">'הרי ידו משגת' </w:t>
      </w:r>
      <w:r>
        <w:rPr>
          <w:rFonts w:asciiTheme="majorBidi" w:hAnsiTheme="majorBidi" w:cstheme="majorBidi"/>
          <w:sz w:val="24"/>
          <w:szCs w:val="24"/>
          <w:rtl/>
        </w:rPr>
        <w:t xml:space="preserve">חמישה ולפיכך עליו לשלם כל מה שבידו עבור נדרו הראשון. כהמשך לדברי חכמים, מביא רב </w:t>
      </w:r>
      <w:proofErr w:type="spellStart"/>
      <w:r>
        <w:rPr>
          <w:rFonts w:asciiTheme="majorBidi" w:hAnsiTheme="majorBidi" w:cstheme="majorBidi"/>
          <w:sz w:val="24"/>
          <w:szCs w:val="24"/>
          <w:rtl/>
        </w:rPr>
        <w:t>אדא</w:t>
      </w:r>
      <w:proofErr w:type="spellEnd"/>
      <w:r>
        <w:rPr>
          <w:rFonts w:asciiTheme="majorBidi" w:hAnsiTheme="majorBidi" w:cstheme="majorBidi"/>
          <w:sz w:val="24"/>
          <w:szCs w:val="24"/>
          <w:rtl/>
        </w:rPr>
        <w:t xml:space="preserve"> מקרה מיוחד, בו אדם נדר פעמיים את ערכו, אך יש בידו חמישה סלעים בלבד. הוא משלם קודם על ההערכה השנייה, ובהתאם לכך הוא נותן ארבעה סלעים. </w:t>
      </w:r>
    </w:p>
    <w:p w14:paraId="3A40B684" w14:textId="77777777" w:rsidR="004A5E4F" w:rsidRDefault="004A5E4F" w:rsidP="004A5E4F">
      <w:pPr>
        <w:ind w:left="720"/>
        <w:rPr>
          <w:rFonts w:ascii="David" w:hAnsi="David" w:cs="David"/>
          <w:sz w:val="24"/>
          <w:szCs w:val="24"/>
          <w:rtl/>
        </w:rPr>
      </w:pPr>
      <w:proofErr w:type="spellStart"/>
      <w:r>
        <w:rPr>
          <w:rFonts w:ascii="David" w:hAnsi="David" w:cs="David"/>
          <w:sz w:val="24"/>
          <w:szCs w:val="24"/>
          <w:rtl/>
        </w:rPr>
        <w:t>דכשנתן</w:t>
      </w:r>
      <w:proofErr w:type="spellEnd"/>
      <w:r>
        <w:rPr>
          <w:rFonts w:ascii="David" w:hAnsi="David" w:cs="David"/>
          <w:sz w:val="24"/>
          <w:szCs w:val="24"/>
          <w:rtl/>
        </w:rPr>
        <w:t xml:space="preserve"> ד' </w:t>
      </w:r>
      <w:proofErr w:type="spellStart"/>
      <w:r>
        <w:rPr>
          <w:rFonts w:ascii="David" w:hAnsi="David" w:cs="David"/>
          <w:sz w:val="24"/>
          <w:szCs w:val="24"/>
          <w:rtl/>
        </w:rPr>
        <w:t>לשניה</w:t>
      </w:r>
      <w:proofErr w:type="spellEnd"/>
      <w:r>
        <w:rPr>
          <w:rFonts w:ascii="David" w:hAnsi="David" w:cs="David"/>
          <w:sz w:val="24"/>
          <w:szCs w:val="24"/>
          <w:rtl/>
        </w:rPr>
        <w:t xml:space="preserve"> היינו כפי אשר תשיג ידו שלא היה יכול ליתן החמישית לערך שניה- לפי שהיה משועבד לראשונה</w:t>
      </w:r>
      <w:r>
        <w:rPr>
          <w:rStyle w:val="a6"/>
          <w:rFonts w:ascii="David" w:hAnsi="David" w:cs="David"/>
          <w:sz w:val="24"/>
          <w:szCs w:val="24"/>
          <w:rtl/>
        </w:rPr>
        <w:footnoteReference w:id="3"/>
      </w:r>
      <w:r>
        <w:rPr>
          <w:rFonts w:ascii="David" w:hAnsi="David" w:cs="David"/>
          <w:sz w:val="24"/>
          <w:szCs w:val="24"/>
          <w:rtl/>
        </w:rPr>
        <w:t xml:space="preserve">.  </w:t>
      </w:r>
    </w:p>
    <w:p w14:paraId="5FA6A8F0" w14:textId="77777777" w:rsidR="004A5E4F" w:rsidRDefault="004A5E4F" w:rsidP="004A5E4F">
      <w:pPr>
        <w:rPr>
          <w:rFonts w:asciiTheme="majorBidi" w:hAnsiTheme="majorBidi" w:cstheme="majorBidi"/>
          <w:sz w:val="24"/>
          <w:szCs w:val="24"/>
          <w:rtl/>
        </w:rPr>
      </w:pPr>
      <w:r>
        <w:rPr>
          <w:rFonts w:asciiTheme="majorBidi" w:hAnsiTheme="majorBidi" w:cstheme="majorBidi"/>
          <w:sz w:val="24"/>
          <w:szCs w:val="24"/>
          <w:rtl/>
        </w:rPr>
        <w:t>את הסלע שנותר בידו עליו לתת לשם הראשונה, ובכך נפטר, ש</w:t>
      </w:r>
      <w:r>
        <w:rPr>
          <w:rFonts w:ascii="David" w:hAnsi="David" w:cs="David"/>
          <w:sz w:val="24"/>
          <w:szCs w:val="24"/>
          <w:rtl/>
        </w:rPr>
        <w:t xml:space="preserve">"כי </w:t>
      </w:r>
      <w:proofErr w:type="spellStart"/>
      <w:r>
        <w:rPr>
          <w:rFonts w:ascii="David" w:hAnsi="David" w:cs="David"/>
          <w:sz w:val="24"/>
          <w:szCs w:val="24"/>
          <w:rtl/>
        </w:rPr>
        <w:t>יהיב</w:t>
      </w:r>
      <w:proofErr w:type="spellEnd"/>
      <w:r>
        <w:rPr>
          <w:rFonts w:ascii="David" w:hAnsi="David" w:cs="David"/>
          <w:sz w:val="24"/>
          <w:szCs w:val="24"/>
          <w:rtl/>
        </w:rPr>
        <w:t xml:space="preserve"> לראשונה - כל מה דאית ליה </w:t>
      </w:r>
      <w:proofErr w:type="spellStart"/>
      <w:r>
        <w:rPr>
          <w:rFonts w:ascii="David" w:hAnsi="David" w:cs="David"/>
          <w:sz w:val="24"/>
          <w:szCs w:val="24"/>
          <w:rtl/>
        </w:rPr>
        <w:t>יהיב</w:t>
      </w:r>
      <w:proofErr w:type="spellEnd"/>
      <w:r>
        <w:rPr>
          <w:rFonts w:ascii="David" w:hAnsi="David" w:cs="David"/>
          <w:sz w:val="24"/>
          <w:szCs w:val="24"/>
          <w:rtl/>
        </w:rPr>
        <w:t xml:space="preserve"> לה</w:t>
      </w:r>
      <w:r>
        <w:rPr>
          <w:rStyle w:val="a6"/>
          <w:rFonts w:ascii="David" w:hAnsi="David" w:cs="David"/>
          <w:sz w:val="24"/>
          <w:szCs w:val="24"/>
          <w:rtl/>
        </w:rPr>
        <w:footnoteReference w:id="4"/>
      </w:r>
      <w:r>
        <w:rPr>
          <w:rFonts w:asciiTheme="majorBidi" w:hAnsiTheme="majorBidi" w:cstheme="majorBidi"/>
          <w:sz w:val="24"/>
          <w:szCs w:val="24"/>
          <w:rtl/>
        </w:rPr>
        <w:t>". בזה מודים אף חכמים שסלע מספיק לתשלום השני</w:t>
      </w:r>
      <w:r>
        <w:rPr>
          <w:rStyle w:val="a6"/>
          <w:rFonts w:asciiTheme="majorBidi" w:hAnsiTheme="majorBidi" w:cstheme="majorBidi"/>
          <w:sz w:val="24"/>
          <w:szCs w:val="24"/>
          <w:rtl/>
        </w:rPr>
        <w:footnoteReference w:id="5"/>
      </w:r>
      <w:r>
        <w:rPr>
          <w:rFonts w:asciiTheme="majorBidi" w:hAnsiTheme="majorBidi" w:cstheme="majorBidi"/>
          <w:sz w:val="24"/>
          <w:szCs w:val="24"/>
          <w:rtl/>
        </w:rPr>
        <w:t xml:space="preserve">. בנימוק הדין, הגמרא מסתמכת על ההלכה שבעל חוב מאוחר שקדם וגבה – מה שגבה שלו. </w:t>
      </w:r>
    </w:p>
    <w:p w14:paraId="17ABE7DD" w14:textId="77777777" w:rsidR="004A5E4F" w:rsidRDefault="004A5E4F" w:rsidP="004A5E4F">
      <w:pPr>
        <w:ind w:left="360"/>
        <w:rPr>
          <w:rFonts w:asciiTheme="majorBidi" w:hAnsiTheme="majorBidi" w:cstheme="majorBidi"/>
          <w:sz w:val="24"/>
          <w:szCs w:val="24"/>
          <w:rtl/>
        </w:rPr>
      </w:pPr>
      <w:proofErr w:type="spellStart"/>
      <w:r>
        <w:rPr>
          <w:rFonts w:ascii="David" w:hAnsi="David" w:cs="David"/>
          <w:sz w:val="24"/>
          <w:szCs w:val="24"/>
          <w:rtl/>
        </w:rPr>
        <w:t>ולשניה</w:t>
      </w:r>
      <w:proofErr w:type="spellEnd"/>
      <w:r>
        <w:rPr>
          <w:rFonts w:ascii="David" w:hAnsi="David" w:cs="David"/>
          <w:sz w:val="24"/>
          <w:szCs w:val="24"/>
          <w:rtl/>
        </w:rPr>
        <w:t xml:space="preserve"> </w:t>
      </w:r>
      <w:proofErr w:type="spellStart"/>
      <w:r>
        <w:rPr>
          <w:rFonts w:ascii="David" w:hAnsi="David" w:cs="David"/>
          <w:sz w:val="24"/>
          <w:szCs w:val="24"/>
          <w:rtl/>
        </w:rPr>
        <w:t>ליכא</w:t>
      </w:r>
      <w:proofErr w:type="spellEnd"/>
      <w:r>
        <w:rPr>
          <w:rFonts w:ascii="David" w:hAnsi="David" w:cs="David"/>
          <w:sz w:val="24"/>
          <w:szCs w:val="24"/>
          <w:rtl/>
        </w:rPr>
        <w:t xml:space="preserve"> </w:t>
      </w:r>
      <w:proofErr w:type="spellStart"/>
      <w:r>
        <w:rPr>
          <w:rFonts w:ascii="David" w:hAnsi="David" w:cs="David"/>
          <w:sz w:val="24"/>
          <w:szCs w:val="24"/>
          <w:rtl/>
        </w:rPr>
        <w:t>למימר</w:t>
      </w:r>
      <w:proofErr w:type="spellEnd"/>
      <w:r>
        <w:rPr>
          <w:rFonts w:ascii="David" w:hAnsi="David" w:cs="David"/>
          <w:sz w:val="24"/>
          <w:szCs w:val="24"/>
          <w:rtl/>
        </w:rPr>
        <w:t xml:space="preserve"> </w:t>
      </w:r>
      <w:proofErr w:type="spellStart"/>
      <w:r>
        <w:rPr>
          <w:rFonts w:ascii="David" w:hAnsi="David" w:cs="David"/>
          <w:sz w:val="24"/>
          <w:szCs w:val="24"/>
          <w:rtl/>
        </w:rPr>
        <w:t>אמאי</w:t>
      </w:r>
      <w:proofErr w:type="spellEnd"/>
      <w:r>
        <w:rPr>
          <w:rFonts w:ascii="David" w:hAnsi="David" w:cs="David"/>
          <w:sz w:val="24"/>
          <w:szCs w:val="24"/>
          <w:rtl/>
        </w:rPr>
        <w:t xml:space="preserve"> לא יהב </w:t>
      </w:r>
      <w:proofErr w:type="spellStart"/>
      <w:r>
        <w:rPr>
          <w:rFonts w:ascii="David" w:hAnsi="David" w:cs="David"/>
          <w:sz w:val="24"/>
          <w:szCs w:val="24"/>
          <w:rtl/>
        </w:rPr>
        <w:t>כולהו</w:t>
      </w:r>
      <w:proofErr w:type="spellEnd"/>
      <w:r>
        <w:rPr>
          <w:rFonts w:ascii="David" w:hAnsi="David" w:cs="David"/>
          <w:sz w:val="24"/>
          <w:szCs w:val="24"/>
          <w:rtl/>
        </w:rPr>
        <w:t xml:space="preserve"> חמש - משום </w:t>
      </w:r>
      <w:proofErr w:type="spellStart"/>
      <w:r>
        <w:rPr>
          <w:rFonts w:ascii="David" w:hAnsi="David" w:cs="David"/>
          <w:sz w:val="24"/>
          <w:szCs w:val="24"/>
          <w:rtl/>
        </w:rPr>
        <w:t>דבעידנא</w:t>
      </w:r>
      <w:proofErr w:type="spellEnd"/>
      <w:r>
        <w:rPr>
          <w:rFonts w:ascii="David" w:hAnsi="David" w:cs="David"/>
          <w:sz w:val="24"/>
          <w:szCs w:val="24"/>
          <w:rtl/>
        </w:rPr>
        <w:t xml:space="preserve"> </w:t>
      </w:r>
      <w:proofErr w:type="spellStart"/>
      <w:r>
        <w:rPr>
          <w:rFonts w:ascii="David" w:hAnsi="David" w:cs="David"/>
          <w:sz w:val="24"/>
          <w:szCs w:val="24"/>
          <w:rtl/>
        </w:rPr>
        <w:t>דיהב</w:t>
      </w:r>
      <w:proofErr w:type="spellEnd"/>
      <w:r>
        <w:rPr>
          <w:rFonts w:ascii="David" w:hAnsi="David" w:cs="David"/>
          <w:sz w:val="24"/>
          <w:szCs w:val="24"/>
          <w:rtl/>
        </w:rPr>
        <w:t xml:space="preserve"> </w:t>
      </w:r>
      <w:proofErr w:type="spellStart"/>
      <w:r>
        <w:rPr>
          <w:rFonts w:ascii="David" w:hAnsi="David" w:cs="David"/>
          <w:sz w:val="24"/>
          <w:szCs w:val="24"/>
          <w:rtl/>
        </w:rPr>
        <w:t>לשניה</w:t>
      </w:r>
      <w:proofErr w:type="spellEnd"/>
      <w:r>
        <w:rPr>
          <w:rFonts w:ascii="David" w:hAnsi="David" w:cs="David"/>
          <w:sz w:val="24"/>
          <w:szCs w:val="24"/>
          <w:rtl/>
        </w:rPr>
        <w:t xml:space="preserve">, משתעבד לה לראשונה, </w:t>
      </w:r>
      <w:proofErr w:type="spellStart"/>
      <w:r>
        <w:rPr>
          <w:rFonts w:ascii="David" w:hAnsi="David" w:cs="David"/>
          <w:sz w:val="24"/>
          <w:szCs w:val="24"/>
          <w:rtl/>
        </w:rPr>
        <w:t>דהא</w:t>
      </w:r>
      <w:proofErr w:type="spellEnd"/>
      <w:r>
        <w:rPr>
          <w:rFonts w:ascii="David" w:hAnsi="David" w:cs="David"/>
          <w:sz w:val="24"/>
          <w:szCs w:val="24"/>
          <w:rtl/>
        </w:rPr>
        <w:t xml:space="preserve"> אפילו מאי </w:t>
      </w:r>
      <w:proofErr w:type="spellStart"/>
      <w:r>
        <w:rPr>
          <w:rFonts w:ascii="David" w:hAnsi="David" w:cs="David"/>
          <w:sz w:val="24"/>
          <w:szCs w:val="24"/>
          <w:rtl/>
        </w:rPr>
        <w:t>דיהיב</w:t>
      </w:r>
      <w:proofErr w:type="spellEnd"/>
      <w:r>
        <w:rPr>
          <w:rFonts w:ascii="David" w:hAnsi="David" w:cs="David"/>
          <w:sz w:val="24"/>
          <w:szCs w:val="24"/>
          <w:rtl/>
        </w:rPr>
        <w:t xml:space="preserve"> לה לאו דידה הוא</w:t>
      </w:r>
      <w:commentRangeStart w:id="0"/>
      <w:r>
        <w:rPr>
          <w:rStyle w:val="a6"/>
          <w:rFonts w:ascii="David" w:hAnsi="David" w:cs="David"/>
          <w:sz w:val="24"/>
          <w:szCs w:val="24"/>
          <w:rtl/>
        </w:rPr>
        <w:footnoteReference w:id="6"/>
      </w:r>
      <w:commentRangeEnd w:id="0"/>
      <w:r>
        <w:rPr>
          <w:rStyle w:val="a8"/>
          <w:rtl/>
        </w:rPr>
        <w:commentReference w:id="0"/>
      </w:r>
      <w:r>
        <w:rPr>
          <w:rFonts w:ascii="David" w:hAnsi="David" w:cs="David"/>
          <w:sz w:val="24"/>
          <w:szCs w:val="24"/>
          <w:rtl/>
        </w:rPr>
        <w:t>.</w:t>
      </w:r>
      <w:r>
        <w:rPr>
          <w:rFonts w:asciiTheme="majorBidi" w:hAnsiTheme="majorBidi" w:cstheme="majorBidi"/>
          <w:sz w:val="24"/>
          <w:szCs w:val="24"/>
          <w:rtl/>
        </w:rPr>
        <w:t xml:space="preserve"> דהיינו, ברור שאינו יכול לתת את כל חמשת הסלעים עבור </w:t>
      </w:r>
      <w:proofErr w:type="spellStart"/>
      <w:r>
        <w:rPr>
          <w:rFonts w:asciiTheme="majorBidi" w:hAnsiTheme="majorBidi" w:cstheme="majorBidi"/>
          <w:sz w:val="24"/>
          <w:szCs w:val="24"/>
          <w:rtl/>
        </w:rPr>
        <w:t>השניה</w:t>
      </w:r>
      <w:proofErr w:type="spellEnd"/>
      <w:r>
        <w:rPr>
          <w:rFonts w:asciiTheme="majorBidi" w:hAnsiTheme="majorBidi" w:cstheme="majorBidi"/>
          <w:sz w:val="24"/>
          <w:szCs w:val="24"/>
          <w:rtl/>
        </w:rPr>
        <w:t>, כי הוא משועבד לחוב הראשונה.</w:t>
      </w:r>
    </w:p>
    <w:p w14:paraId="38EAD99C" w14:textId="77777777" w:rsidR="004A5E4F" w:rsidRDefault="004A5E4F" w:rsidP="004A5E4F">
      <w:pPr>
        <w:pStyle w:val="a3"/>
        <w:numPr>
          <w:ilvl w:val="0"/>
          <w:numId w:val="3"/>
        </w:numPr>
        <w:spacing w:after="0" w:line="360" w:lineRule="auto"/>
        <w:rPr>
          <w:rFonts w:asciiTheme="majorBidi" w:hAnsiTheme="majorBidi" w:cstheme="majorBidi"/>
          <w:b/>
          <w:bCs/>
          <w:sz w:val="24"/>
          <w:szCs w:val="24"/>
          <w:rtl/>
        </w:rPr>
      </w:pPr>
      <w:r>
        <w:rPr>
          <w:rFonts w:asciiTheme="majorBidi" w:hAnsiTheme="majorBidi" w:cstheme="majorBidi"/>
          <w:b/>
          <w:bCs/>
          <w:sz w:val="24"/>
          <w:szCs w:val="24"/>
          <w:rtl/>
        </w:rPr>
        <w:t>השוואה להלכה בסוגיות אחרות</w:t>
      </w:r>
    </w:p>
    <w:p w14:paraId="24AB04B9" w14:textId="77777777" w:rsidR="004A5E4F" w:rsidRDefault="004A5E4F" w:rsidP="004A5E4F">
      <w:pPr>
        <w:ind w:left="360"/>
        <w:rPr>
          <w:rFonts w:ascii="David" w:hAnsi="David" w:cs="David"/>
          <w:sz w:val="24"/>
          <w:szCs w:val="24"/>
        </w:rPr>
      </w:pPr>
      <w:r>
        <w:rPr>
          <w:rFonts w:asciiTheme="majorBidi" w:hAnsiTheme="majorBidi" w:cstheme="majorBidi"/>
          <w:sz w:val="24"/>
          <w:szCs w:val="24"/>
          <w:rtl/>
        </w:rPr>
        <w:lastRenderedPageBreak/>
        <w:t xml:space="preserve">כך שנינו: </w:t>
      </w:r>
    </w:p>
    <w:p w14:paraId="4FE0F8E2" w14:textId="77777777" w:rsidR="004A5E4F" w:rsidRDefault="004A5E4F" w:rsidP="004A5E4F">
      <w:pPr>
        <w:ind w:left="720"/>
        <w:rPr>
          <w:rFonts w:asciiTheme="majorBidi" w:hAnsiTheme="majorBidi" w:cstheme="majorBidi"/>
          <w:sz w:val="24"/>
          <w:szCs w:val="24"/>
          <w:rtl/>
        </w:rPr>
      </w:pPr>
      <w:r>
        <w:rPr>
          <w:rFonts w:ascii="David" w:hAnsi="David" w:cs="David"/>
          <w:sz w:val="24"/>
          <w:szCs w:val="24"/>
          <w:rtl/>
        </w:rPr>
        <w:t xml:space="preserve">מי שהיה נשוי שתי נשים ומת - הראשונה קודמת </w:t>
      </w:r>
      <w:proofErr w:type="spellStart"/>
      <w:r>
        <w:rPr>
          <w:rFonts w:ascii="David" w:hAnsi="David" w:cs="David"/>
          <w:sz w:val="24"/>
          <w:szCs w:val="24"/>
          <w:rtl/>
        </w:rPr>
        <w:t>לשניה</w:t>
      </w:r>
      <w:proofErr w:type="spellEnd"/>
      <w:r>
        <w:rPr>
          <w:rFonts w:ascii="David" w:hAnsi="David" w:cs="David"/>
          <w:sz w:val="24"/>
          <w:szCs w:val="24"/>
          <w:rtl/>
        </w:rPr>
        <w:t xml:space="preserve"> ויורשי הראשונה קודמים ליורשי שניה</w:t>
      </w:r>
      <w:r>
        <w:rPr>
          <w:rStyle w:val="a6"/>
          <w:rFonts w:ascii="David" w:hAnsi="David" w:cs="David"/>
          <w:sz w:val="24"/>
          <w:szCs w:val="24"/>
          <w:rtl/>
        </w:rPr>
        <w:footnoteReference w:id="7"/>
      </w:r>
      <w:r>
        <w:rPr>
          <w:rFonts w:ascii="David" w:hAnsi="David" w:cs="David"/>
          <w:sz w:val="24"/>
          <w:szCs w:val="24"/>
          <w:rtl/>
        </w:rPr>
        <w:t>.</w:t>
      </w:r>
    </w:p>
    <w:p w14:paraId="04B8E17A" w14:textId="77777777" w:rsidR="004A5E4F" w:rsidRDefault="004A5E4F" w:rsidP="004A5E4F">
      <w:pPr>
        <w:ind w:left="360"/>
        <w:rPr>
          <w:rFonts w:asciiTheme="majorBidi" w:hAnsiTheme="majorBidi" w:cstheme="majorBidi"/>
          <w:sz w:val="24"/>
          <w:szCs w:val="24"/>
          <w:rtl/>
        </w:rPr>
      </w:pPr>
      <w:r>
        <w:rPr>
          <w:rFonts w:asciiTheme="majorBidi" w:hAnsiTheme="majorBidi" w:cstheme="majorBidi"/>
          <w:sz w:val="24"/>
          <w:szCs w:val="24"/>
          <w:rtl/>
        </w:rPr>
        <w:t xml:space="preserve">הגמרא מתלבטת בשתי לישנות, מה הדין אם תפסה האישה השנייה ממון לכתובתה: </w:t>
      </w:r>
    </w:p>
    <w:p w14:paraId="43AEC3F6" w14:textId="77777777" w:rsidR="004A5E4F" w:rsidRDefault="004A5E4F" w:rsidP="004A5E4F">
      <w:pPr>
        <w:ind w:left="720"/>
        <w:rPr>
          <w:rFonts w:ascii="David" w:hAnsi="David" w:cs="David"/>
          <w:sz w:val="24"/>
          <w:szCs w:val="24"/>
          <w:rtl/>
        </w:rPr>
      </w:pPr>
      <w:proofErr w:type="spellStart"/>
      <w:r>
        <w:rPr>
          <w:rFonts w:ascii="David" w:hAnsi="David" w:cs="David"/>
          <w:sz w:val="24"/>
          <w:szCs w:val="24"/>
          <w:rtl/>
        </w:rPr>
        <w:t>מדקתני</w:t>
      </w:r>
      <w:proofErr w:type="spellEnd"/>
      <w:r>
        <w:rPr>
          <w:rFonts w:ascii="David" w:hAnsi="David" w:cs="David"/>
          <w:sz w:val="24"/>
          <w:szCs w:val="24"/>
          <w:rtl/>
        </w:rPr>
        <w:t xml:space="preserve"> הראשונה קודמת </w:t>
      </w:r>
      <w:proofErr w:type="spellStart"/>
      <w:r>
        <w:rPr>
          <w:rFonts w:ascii="David" w:hAnsi="David" w:cs="David"/>
          <w:sz w:val="24"/>
          <w:szCs w:val="24"/>
          <w:rtl/>
        </w:rPr>
        <w:t>לשניה</w:t>
      </w:r>
      <w:proofErr w:type="spellEnd"/>
      <w:r>
        <w:rPr>
          <w:rFonts w:ascii="David" w:hAnsi="David" w:cs="David"/>
          <w:sz w:val="24"/>
          <w:szCs w:val="24"/>
          <w:rtl/>
        </w:rPr>
        <w:t xml:space="preserve">, ולא </w:t>
      </w:r>
      <w:proofErr w:type="spellStart"/>
      <w:r>
        <w:rPr>
          <w:rFonts w:ascii="David" w:hAnsi="David" w:cs="David"/>
          <w:sz w:val="24"/>
          <w:szCs w:val="24"/>
          <w:rtl/>
        </w:rPr>
        <w:t>קתני</w:t>
      </w:r>
      <w:proofErr w:type="spellEnd"/>
      <w:r>
        <w:rPr>
          <w:rFonts w:ascii="David" w:hAnsi="David" w:cs="David"/>
          <w:sz w:val="24"/>
          <w:szCs w:val="24"/>
          <w:rtl/>
        </w:rPr>
        <w:t xml:space="preserve"> הראשונה יש לה </w:t>
      </w:r>
      <w:proofErr w:type="spellStart"/>
      <w:r>
        <w:rPr>
          <w:rFonts w:ascii="David" w:hAnsi="David" w:cs="David"/>
          <w:sz w:val="24"/>
          <w:szCs w:val="24"/>
          <w:rtl/>
        </w:rPr>
        <w:t>והשניה</w:t>
      </w:r>
      <w:proofErr w:type="spellEnd"/>
      <w:r>
        <w:rPr>
          <w:rFonts w:ascii="David" w:hAnsi="David" w:cs="David"/>
          <w:sz w:val="24"/>
          <w:szCs w:val="24"/>
          <w:rtl/>
        </w:rPr>
        <w:t xml:space="preserve"> אין לה, מכלל דאי קדמה שניה ותפסה - לא </w:t>
      </w:r>
      <w:proofErr w:type="spellStart"/>
      <w:r>
        <w:rPr>
          <w:rFonts w:ascii="David" w:hAnsi="David" w:cs="David"/>
          <w:sz w:val="24"/>
          <w:szCs w:val="24"/>
          <w:rtl/>
        </w:rPr>
        <w:t>מפקינן</w:t>
      </w:r>
      <w:proofErr w:type="spellEnd"/>
      <w:r>
        <w:rPr>
          <w:rFonts w:ascii="David" w:hAnsi="David" w:cs="David"/>
          <w:sz w:val="24"/>
          <w:szCs w:val="24"/>
          <w:rtl/>
        </w:rPr>
        <w:t xml:space="preserve"> מינה, שמע מינה: </w:t>
      </w:r>
      <w:r>
        <w:rPr>
          <w:rFonts w:ascii="David" w:hAnsi="David" w:cs="David"/>
          <w:b/>
          <w:bCs/>
          <w:sz w:val="24"/>
          <w:szCs w:val="24"/>
          <w:rtl/>
        </w:rPr>
        <w:t>בעל חוב מאוחר שקדם וגבה, מה שגבה גבה!</w:t>
      </w:r>
      <w:r>
        <w:rPr>
          <w:rFonts w:ascii="David" w:hAnsi="David" w:cs="David"/>
          <w:sz w:val="24"/>
          <w:szCs w:val="24"/>
          <w:rtl/>
        </w:rPr>
        <w:t xml:space="preserve"> לעולם אימא לך: מה שגבה לא גבה, ומאי קודמת? לגמרי </w:t>
      </w:r>
      <w:proofErr w:type="spellStart"/>
      <w:r>
        <w:rPr>
          <w:rFonts w:ascii="David" w:hAnsi="David" w:cs="David"/>
          <w:sz w:val="24"/>
          <w:szCs w:val="24"/>
          <w:rtl/>
        </w:rPr>
        <w:t>קתני</w:t>
      </w:r>
      <w:proofErr w:type="spellEnd"/>
      <w:r>
        <w:rPr>
          <w:rFonts w:ascii="David" w:hAnsi="David" w:cs="David"/>
          <w:sz w:val="24"/>
          <w:szCs w:val="24"/>
          <w:rtl/>
        </w:rPr>
        <w:t xml:space="preserve">... איכא </w:t>
      </w:r>
      <w:proofErr w:type="spellStart"/>
      <w:r>
        <w:rPr>
          <w:rFonts w:ascii="David" w:hAnsi="David" w:cs="David"/>
          <w:sz w:val="24"/>
          <w:szCs w:val="24"/>
          <w:rtl/>
        </w:rPr>
        <w:t>דאמרי</w:t>
      </w:r>
      <w:proofErr w:type="spellEnd"/>
      <w:r>
        <w:rPr>
          <w:rFonts w:ascii="David" w:hAnsi="David" w:cs="David"/>
          <w:sz w:val="24"/>
          <w:szCs w:val="24"/>
          <w:rtl/>
        </w:rPr>
        <w:t xml:space="preserve">: </w:t>
      </w:r>
      <w:proofErr w:type="spellStart"/>
      <w:r>
        <w:rPr>
          <w:rFonts w:ascii="David" w:hAnsi="David" w:cs="David"/>
          <w:sz w:val="24"/>
          <w:szCs w:val="24"/>
          <w:rtl/>
        </w:rPr>
        <w:t>מדלא</w:t>
      </w:r>
      <w:proofErr w:type="spellEnd"/>
      <w:r>
        <w:rPr>
          <w:rFonts w:ascii="David" w:hAnsi="David" w:cs="David"/>
          <w:sz w:val="24"/>
          <w:szCs w:val="24"/>
          <w:rtl/>
        </w:rPr>
        <w:t xml:space="preserve"> </w:t>
      </w:r>
      <w:proofErr w:type="spellStart"/>
      <w:r>
        <w:rPr>
          <w:rFonts w:ascii="David" w:hAnsi="David" w:cs="David"/>
          <w:sz w:val="24"/>
          <w:szCs w:val="24"/>
          <w:rtl/>
        </w:rPr>
        <w:t>קתני</w:t>
      </w:r>
      <w:proofErr w:type="spellEnd"/>
      <w:r>
        <w:rPr>
          <w:rFonts w:ascii="David" w:hAnsi="David" w:cs="David"/>
          <w:sz w:val="24"/>
          <w:szCs w:val="24"/>
          <w:rtl/>
        </w:rPr>
        <w:t xml:space="preserve"> אם קדמה שניה ותפסה אין </w:t>
      </w:r>
      <w:proofErr w:type="spellStart"/>
      <w:r>
        <w:rPr>
          <w:rFonts w:ascii="David" w:hAnsi="David" w:cs="David"/>
          <w:sz w:val="24"/>
          <w:szCs w:val="24"/>
          <w:rtl/>
        </w:rPr>
        <w:t>מוציאין</w:t>
      </w:r>
      <w:proofErr w:type="spellEnd"/>
      <w:r>
        <w:rPr>
          <w:rFonts w:ascii="David" w:hAnsi="David" w:cs="David"/>
          <w:sz w:val="24"/>
          <w:szCs w:val="24"/>
          <w:rtl/>
        </w:rPr>
        <w:t xml:space="preserve"> מידה, מכלל דאי קדמה שניה ותפסה - </w:t>
      </w:r>
      <w:proofErr w:type="spellStart"/>
      <w:r>
        <w:rPr>
          <w:rFonts w:ascii="David" w:hAnsi="David" w:cs="David"/>
          <w:sz w:val="24"/>
          <w:szCs w:val="24"/>
          <w:rtl/>
        </w:rPr>
        <w:t>מפקינן</w:t>
      </w:r>
      <w:proofErr w:type="spellEnd"/>
      <w:r>
        <w:rPr>
          <w:rFonts w:ascii="David" w:hAnsi="David" w:cs="David"/>
          <w:sz w:val="24"/>
          <w:szCs w:val="24"/>
          <w:rtl/>
        </w:rPr>
        <w:t xml:space="preserve"> מינה, </w:t>
      </w:r>
      <w:r>
        <w:rPr>
          <w:rFonts w:ascii="David" w:hAnsi="David" w:cs="David"/>
          <w:b/>
          <w:bCs/>
          <w:sz w:val="24"/>
          <w:szCs w:val="24"/>
          <w:rtl/>
        </w:rPr>
        <w:t>שמע מינה: בעל חוב מאוחר שקדם וגבה, מה שגבה לא גבה!</w:t>
      </w:r>
      <w:r>
        <w:rPr>
          <w:rFonts w:ascii="David" w:hAnsi="David" w:cs="David"/>
          <w:sz w:val="24"/>
          <w:szCs w:val="24"/>
          <w:rtl/>
        </w:rPr>
        <w:t xml:space="preserve"> לעולם אימא לך: מה שגבה גבה, איידי </w:t>
      </w:r>
      <w:proofErr w:type="spellStart"/>
      <w:r>
        <w:rPr>
          <w:rFonts w:ascii="David" w:hAnsi="David" w:cs="David"/>
          <w:sz w:val="24"/>
          <w:szCs w:val="24"/>
          <w:rtl/>
        </w:rPr>
        <w:t>דתנא</w:t>
      </w:r>
      <w:proofErr w:type="spellEnd"/>
      <w:r>
        <w:rPr>
          <w:rFonts w:ascii="David" w:hAnsi="David" w:cs="David"/>
          <w:sz w:val="24"/>
          <w:szCs w:val="24"/>
          <w:rtl/>
        </w:rPr>
        <w:t xml:space="preserve"> שניה ויורשיה </w:t>
      </w:r>
      <w:proofErr w:type="spellStart"/>
      <w:r>
        <w:rPr>
          <w:rFonts w:ascii="David" w:hAnsi="David" w:cs="David"/>
          <w:sz w:val="24"/>
          <w:szCs w:val="24"/>
          <w:rtl/>
        </w:rPr>
        <w:t>קודמין</w:t>
      </w:r>
      <w:proofErr w:type="spellEnd"/>
      <w:r>
        <w:rPr>
          <w:rFonts w:ascii="David" w:hAnsi="David" w:cs="David"/>
          <w:sz w:val="24"/>
          <w:szCs w:val="24"/>
          <w:rtl/>
        </w:rPr>
        <w:t xml:space="preserve"> ליורשי הראשונה, תנא נמי הראשונה קודמת </w:t>
      </w:r>
      <w:proofErr w:type="spellStart"/>
      <w:r>
        <w:rPr>
          <w:rFonts w:ascii="David" w:hAnsi="David" w:cs="David"/>
          <w:sz w:val="24"/>
          <w:szCs w:val="24"/>
          <w:rtl/>
        </w:rPr>
        <w:t>לשניה</w:t>
      </w:r>
      <w:proofErr w:type="spellEnd"/>
      <w:r>
        <w:rPr>
          <w:rStyle w:val="a6"/>
          <w:rFonts w:ascii="David" w:hAnsi="David" w:cs="David"/>
          <w:sz w:val="24"/>
          <w:szCs w:val="24"/>
          <w:rtl/>
        </w:rPr>
        <w:footnoteReference w:id="8"/>
      </w:r>
      <w:r>
        <w:rPr>
          <w:rFonts w:ascii="David" w:hAnsi="David" w:cs="David"/>
          <w:sz w:val="24"/>
          <w:szCs w:val="24"/>
          <w:rtl/>
        </w:rPr>
        <w:t xml:space="preserve">. </w:t>
      </w:r>
    </w:p>
    <w:p w14:paraId="22A08884" w14:textId="77777777" w:rsidR="004A5E4F" w:rsidRDefault="004A5E4F" w:rsidP="004A5E4F">
      <w:pPr>
        <w:ind w:left="360"/>
        <w:rPr>
          <w:rFonts w:ascii="David" w:hAnsi="David" w:cs="David"/>
          <w:sz w:val="24"/>
          <w:szCs w:val="24"/>
          <w:rtl/>
        </w:rPr>
      </w:pPr>
      <w:r>
        <w:rPr>
          <w:rFonts w:asciiTheme="majorBidi" w:hAnsiTheme="majorBidi" w:cstheme="majorBidi"/>
          <w:sz w:val="24"/>
          <w:szCs w:val="24"/>
          <w:rtl/>
        </w:rPr>
        <w:t>בסוגיה שם בהמשך, בהסבר מחלוקת תנאים לגבי חיוב אישה אחרונה שגובה בשבועה, נאמר בגמרא:</w:t>
      </w:r>
    </w:p>
    <w:p w14:paraId="03A1E2C2" w14:textId="77777777" w:rsidR="004A5E4F" w:rsidRDefault="004A5E4F" w:rsidP="004A5E4F">
      <w:pPr>
        <w:ind w:left="720"/>
        <w:rPr>
          <w:rFonts w:asciiTheme="majorBidi" w:hAnsiTheme="majorBidi" w:cstheme="majorBidi"/>
          <w:sz w:val="24"/>
          <w:szCs w:val="24"/>
          <w:rtl/>
        </w:rPr>
      </w:pPr>
      <w:r>
        <w:rPr>
          <w:rFonts w:ascii="David" w:hAnsi="David" w:cs="David"/>
          <w:sz w:val="24"/>
          <w:szCs w:val="24"/>
          <w:rtl/>
        </w:rPr>
        <w:t>כגון שנמצאת אחת מהן שדה שאינה שלו, ו</w:t>
      </w:r>
      <w:r>
        <w:rPr>
          <w:rFonts w:ascii="David" w:hAnsi="David" w:cs="David"/>
          <w:b/>
          <w:bCs/>
          <w:sz w:val="24"/>
          <w:szCs w:val="24"/>
          <w:rtl/>
        </w:rPr>
        <w:t xml:space="preserve">בבעל חוב מאוחר שקדם וגבה </w:t>
      </w:r>
      <w:proofErr w:type="spellStart"/>
      <w:r>
        <w:rPr>
          <w:rFonts w:ascii="David" w:hAnsi="David" w:cs="David"/>
          <w:b/>
          <w:bCs/>
          <w:sz w:val="24"/>
          <w:szCs w:val="24"/>
          <w:rtl/>
        </w:rPr>
        <w:t>קמיפלגי</w:t>
      </w:r>
      <w:proofErr w:type="spellEnd"/>
      <w:r>
        <w:rPr>
          <w:rFonts w:ascii="David" w:hAnsi="David" w:cs="David"/>
          <w:sz w:val="24"/>
          <w:szCs w:val="24"/>
          <w:rtl/>
        </w:rPr>
        <w:t xml:space="preserve">, ת"ק סבר: מה שגבה לא גבה, ובן ננס סבר: מה שגבה גבה. (אמר) ר"נ אמר רבה בר אבוה: </w:t>
      </w:r>
      <w:r>
        <w:rPr>
          <w:rFonts w:ascii="David" w:hAnsi="David" w:cs="David"/>
          <w:b/>
          <w:bCs/>
          <w:sz w:val="24"/>
          <w:szCs w:val="24"/>
          <w:rtl/>
        </w:rPr>
        <w:t>דכולי עלמא מה שגבה לא גבה</w:t>
      </w:r>
      <w:r>
        <w:rPr>
          <w:rFonts w:ascii="David" w:hAnsi="David" w:cs="David"/>
          <w:sz w:val="24"/>
          <w:szCs w:val="24"/>
          <w:rtl/>
        </w:rPr>
        <w:t xml:space="preserve">, </w:t>
      </w:r>
      <w:proofErr w:type="spellStart"/>
      <w:r>
        <w:rPr>
          <w:rFonts w:ascii="David" w:hAnsi="David" w:cs="David"/>
          <w:sz w:val="24"/>
          <w:szCs w:val="24"/>
          <w:rtl/>
        </w:rPr>
        <w:t>והכא</w:t>
      </w:r>
      <w:proofErr w:type="spellEnd"/>
      <w:r>
        <w:rPr>
          <w:rFonts w:ascii="David" w:hAnsi="David" w:cs="David"/>
          <w:sz w:val="24"/>
          <w:szCs w:val="24"/>
          <w:rtl/>
        </w:rPr>
        <w:t xml:space="preserve"> </w:t>
      </w:r>
      <w:proofErr w:type="spellStart"/>
      <w:r>
        <w:rPr>
          <w:rFonts w:ascii="David" w:hAnsi="David" w:cs="David"/>
          <w:sz w:val="24"/>
          <w:szCs w:val="24"/>
          <w:rtl/>
        </w:rPr>
        <w:t>בחיישינן</w:t>
      </w:r>
      <w:proofErr w:type="spellEnd"/>
      <w:r>
        <w:rPr>
          <w:rFonts w:ascii="David" w:hAnsi="David" w:cs="David"/>
          <w:sz w:val="24"/>
          <w:szCs w:val="24"/>
          <w:rtl/>
        </w:rPr>
        <w:t xml:space="preserve"> שמא תכסיף </w:t>
      </w:r>
      <w:proofErr w:type="spellStart"/>
      <w:r>
        <w:rPr>
          <w:rFonts w:ascii="David" w:hAnsi="David" w:cs="David"/>
          <w:sz w:val="24"/>
          <w:szCs w:val="24"/>
          <w:rtl/>
        </w:rPr>
        <w:t>קמיפלגי</w:t>
      </w:r>
      <w:proofErr w:type="spellEnd"/>
      <w:r>
        <w:rPr>
          <w:rStyle w:val="a6"/>
          <w:rFonts w:ascii="David" w:hAnsi="David" w:cs="David"/>
          <w:sz w:val="24"/>
          <w:szCs w:val="24"/>
          <w:rtl/>
        </w:rPr>
        <w:footnoteReference w:id="9"/>
      </w:r>
      <w:r>
        <w:rPr>
          <w:rFonts w:ascii="David" w:hAnsi="David" w:cs="David"/>
          <w:sz w:val="24"/>
          <w:szCs w:val="24"/>
          <w:rtl/>
        </w:rPr>
        <w:t xml:space="preserve">. </w:t>
      </w:r>
    </w:p>
    <w:p w14:paraId="7484E5CB" w14:textId="77777777" w:rsidR="004A5E4F" w:rsidRDefault="004A5E4F" w:rsidP="004A5E4F">
      <w:pPr>
        <w:ind w:left="360"/>
        <w:rPr>
          <w:rFonts w:asciiTheme="majorBidi" w:hAnsiTheme="majorBidi" w:cstheme="majorBidi"/>
          <w:sz w:val="24"/>
          <w:szCs w:val="24"/>
          <w:rtl/>
        </w:rPr>
      </w:pPr>
      <w:r>
        <w:rPr>
          <w:rFonts w:asciiTheme="majorBidi" w:hAnsiTheme="majorBidi" w:cstheme="majorBidi"/>
          <w:sz w:val="24"/>
          <w:szCs w:val="24"/>
          <w:rtl/>
        </w:rPr>
        <w:t xml:space="preserve">אם כן, לפחות לפי רב נחמן המסקנה היא שאין גבייתו של בעל חוב מאוחר תקפה. כך פוסקים רב האי גאון, רבנו חננאל, </w:t>
      </w:r>
      <w:proofErr w:type="spellStart"/>
      <w:r>
        <w:rPr>
          <w:rFonts w:asciiTheme="majorBidi" w:hAnsiTheme="majorBidi" w:cstheme="majorBidi"/>
          <w:sz w:val="24"/>
          <w:szCs w:val="24"/>
          <w:rtl/>
        </w:rPr>
        <w:t>הרי"ף</w:t>
      </w:r>
      <w:proofErr w:type="spellEnd"/>
      <w:r>
        <w:rPr>
          <w:rFonts w:asciiTheme="majorBidi" w:hAnsiTheme="majorBidi" w:cstheme="majorBidi"/>
          <w:sz w:val="24"/>
          <w:szCs w:val="24"/>
          <w:rtl/>
        </w:rPr>
        <w:t xml:space="preserve"> </w:t>
      </w:r>
      <w:proofErr w:type="spellStart"/>
      <w:r>
        <w:rPr>
          <w:rFonts w:asciiTheme="majorBidi" w:hAnsiTheme="majorBidi" w:cstheme="majorBidi"/>
          <w:sz w:val="24"/>
          <w:szCs w:val="24"/>
          <w:rtl/>
        </w:rPr>
        <w:t>הרא"ש</w:t>
      </w:r>
      <w:proofErr w:type="spellEnd"/>
      <w:r>
        <w:rPr>
          <w:rFonts w:asciiTheme="majorBidi" w:hAnsiTheme="majorBidi" w:cstheme="majorBidi"/>
          <w:sz w:val="24"/>
          <w:szCs w:val="24"/>
          <w:rtl/>
        </w:rPr>
        <w:t xml:space="preserve"> והרמב"ם</w:t>
      </w:r>
      <w:r>
        <w:rPr>
          <w:rStyle w:val="a6"/>
          <w:rFonts w:asciiTheme="majorBidi" w:hAnsiTheme="majorBidi" w:cstheme="majorBidi"/>
          <w:sz w:val="24"/>
          <w:szCs w:val="24"/>
          <w:rtl/>
        </w:rPr>
        <w:footnoteReference w:id="10"/>
      </w:r>
      <w:r>
        <w:rPr>
          <w:rFonts w:asciiTheme="majorBidi" w:hAnsiTheme="majorBidi" w:cstheme="majorBidi"/>
          <w:sz w:val="24"/>
          <w:szCs w:val="24"/>
          <w:rtl/>
        </w:rPr>
        <w:t xml:space="preserve">. </w:t>
      </w:r>
    </w:p>
    <w:p w14:paraId="29709B3A" w14:textId="77777777" w:rsidR="004A5E4F" w:rsidRDefault="004A5E4F" w:rsidP="004A5E4F">
      <w:pPr>
        <w:rPr>
          <w:rFonts w:asciiTheme="majorBidi" w:hAnsiTheme="majorBidi" w:cstheme="majorBidi"/>
          <w:sz w:val="24"/>
          <w:szCs w:val="24"/>
          <w:rtl/>
        </w:rPr>
      </w:pPr>
      <w:r>
        <w:rPr>
          <w:rFonts w:asciiTheme="majorBidi" w:hAnsiTheme="majorBidi" w:cstheme="majorBidi"/>
          <w:sz w:val="24"/>
          <w:szCs w:val="24"/>
          <w:rtl/>
        </w:rPr>
        <w:t xml:space="preserve">לכאורה מסקנה זו עומדת בניגוד לסוגייתנו, שהסתמכה על כך שהגבייה תופסת לדינו של רב </w:t>
      </w:r>
      <w:proofErr w:type="spellStart"/>
      <w:r>
        <w:rPr>
          <w:rFonts w:asciiTheme="majorBidi" w:hAnsiTheme="majorBidi" w:cstheme="majorBidi"/>
          <w:sz w:val="24"/>
          <w:szCs w:val="24"/>
          <w:rtl/>
        </w:rPr>
        <w:t>אדא</w:t>
      </w:r>
      <w:proofErr w:type="spellEnd"/>
      <w:r>
        <w:rPr>
          <w:rStyle w:val="a6"/>
          <w:rFonts w:asciiTheme="majorBidi" w:hAnsiTheme="majorBidi" w:cstheme="majorBidi"/>
          <w:sz w:val="24"/>
          <w:szCs w:val="24"/>
          <w:rtl/>
        </w:rPr>
        <w:footnoteReference w:id="11"/>
      </w:r>
      <w:r>
        <w:rPr>
          <w:rFonts w:asciiTheme="majorBidi" w:hAnsiTheme="majorBidi" w:cstheme="majorBidi"/>
          <w:sz w:val="24"/>
          <w:szCs w:val="24"/>
          <w:rtl/>
        </w:rPr>
        <w:t>. אפשר להציע כמה הסברים על מנת ליישב זאת. את שלושת הראשונים מביאים בעלי התוספות.</w:t>
      </w:r>
    </w:p>
    <w:p w14:paraId="5FFFCAEC" w14:textId="77777777" w:rsidR="004A5E4F" w:rsidRDefault="004A5E4F" w:rsidP="004A5E4F">
      <w:pPr>
        <w:rPr>
          <w:rFonts w:asciiTheme="majorBidi" w:hAnsiTheme="majorBidi" w:cstheme="majorBidi"/>
          <w:sz w:val="24"/>
          <w:szCs w:val="24"/>
          <w:rtl/>
        </w:rPr>
      </w:pPr>
      <w:r>
        <w:rPr>
          <w:rFonts w:asciiTheme="majorBidi" w:hAnsiTheme="majorBidi" w:cstheme="majorBidi"/>
          <w:sz w:val="24"/>
          <w:szCs w:val="24"/>
          <w:rtl/>
        </w:rPr>
        <w:t>1. במטלטלים הגבייה קיימת, "</w:t>
      </w:r>
      <w:r>
        <w:rPr>
          <w:rFonts w:ascii="David" w:hAnsi="David" w:cs="David"/>
          <w:sz w:val="24"/>
          <w:szCs w:val="24"/>
          <w:rtl/>
        </w:rPr>
        <w:t xml:space="preserve">לפי שאין עיקר השעבוד על </w:t>
      </w:r>
      <w:proofErr w:type="spellStart"/>
      <w:r>
        <w:rPr>
          <w:rFonts w:ascii="David" w:hAnsi="David" w:cs="David"/>
          <w:sz w:val="24"/>
          <w:szCs w:val="24"/>
          <w:rtl/>
        </w:rPr>
        <w:t>המטלטלין</w:t>
      </w:r>
      <w:proofErr w:type="spellEnd"/>
      <w:r>
        <w:rPr>
          <w:rFonts w:ascii="David" w:hAnsi="David" w:cs="David"/>
          <w:sz w:val="24"/>
          <w:szCs w:val="24"/>
          <w:rtl/>
        </w:rPr>
        <w:t xml:space="preserve"> אלא על הקרקעות והתם איירי בקרקעות</w:t>
      </w:r>
      <w:r>
        <w:rPr>
          <w:rStyle w:val="a6"/>
          <w:rFonts w:ascii="David" w:hAnsi="David" w:cs="David"/>
          <w:sz w:val="24"/>
          <w:szCs w:val="24"/>
          <w:rtl/>
        </w:rPr>
        <w:footnoteReference w:id="12"/>
      </w:r>
      <w:r>
        <w:rPr>
          <w:rFonts w:ascii="David" w:hAnsi="David" w:cs="David"/>
          <w:sz w:val="24"/>
          <w:szCs w:val="24"/>
          <w:rtl/>
        </w:rPr>
        <w:t>".</w:t>
      </w:r>
      <w:r>
        <w:rPr>
          <w:rFonts w:asciiTheme="majorBidi" w:hAnsiTheme="majorBidi" w:cstheme="majorBidi"/>
          <w:sz w:val="24"/>
          <w:szCs w:val="24"/>
          <w:rtl/>
        </w:rPr>
        <w:t xml:space="preserve"> כך נוקטים בעלי התוספות למסקנה</w:t>
      </w:r>
      <w:r>
        <w:rPr>
          <w:rStyle w:val="a6"/>
          <w:rFonts w:asciiTheme="majorBidi" w:hAnsiTheme="majorBidi" w:cstheme="majorBidi"/>
          <w:sz w:val="24"/>
          <w:szCs w:val="24"/>
          <w:rtl/>
        </w:rPr>
        <w:footnoteReference w:id="13"/>
      </w:r>
      <w:r>
        <w:rPr>
          <w:rFonts w:asciiTheme="majorBidi" w:hAnsiTheme="majorBidi" w:cstheme="majorBidi"/>
          <w:sz w:val="24"/>
          <w:szCs w:val="24"/>
          <w:rtl/>
        </w:rPr>
        <w:t>.</w:t>
      </w:r>
    </w:p>
    <w:p w14:paraId="7318AB2E" w14:textId="77777777" w:rsidR="004A5E4F" w:rsidRDefault="004A5E4F" w:rsidP="004A5E4F">
      <w:pPr>
        <w:rPr>
          <w:rFonts w:asciiTheme="majorBidi" w:hAnsiTheme="majorBidi" w:cstheme="majorBidi"/>
          <w:sz w:val="24"/>
          <w:szCs w:val="24"/>
        </w:rPr>
      </w:pPr>
      <w:r>
        <w:rPr>
          <w:rFonts w:ascii="David" w:hAnsi="David" w:cs="David"/>
          <w:sz w:val="24"/>
          <w:szCs w:val="24"/>
          <w:rtl/>
        </w:rPr>
        <w:lastRenderedPageBreak/>
        <w:t>2. "גבי הקדש ודאי מה שגבה גבה דאין לחוש הואיל והכל הקדש</w:t>
      </w:r>
      <w:r>
        <w:rPr>
          <w:rStyle w:val="a6"/>
          <w:rFonts w:ascii="David" w:hAnsi="David" w:cs="David"/>
          <w:sz w:val="24"/>
          <w:szCs w:val="24"/>
          <w:rtl/>
        </w:rPr>
        <w:footnoteReference w:id="14"/>
      </w:r>
      <w:r>
        <w:rPr>
          <w:rFonts w:ascii="David" w:hAnsi="David" w:cs="David"/>
          <w:sz w:val="24"/>
          <w:szCs w:val="24"/>
          <w:rtl/>
        </w:rPr>
        <w:t>".</w:t>
      </w:r>
      <w:r>
        <w:rPr>
          <w:rFonts w:asciiTheme="majorBidi" w:hAnsiTheme="majorBidi" w:cstheme="majorBidi"/>
          <w:sz w:val="24"/>
          <w:szCs w:val="24"/>
          <w:rtl/>
        </w:rPr>
        <w:t xml:space="preserve"> כלומר בהקדש אין כל מקום לדיני קדימויות, כי הכול הולך לאותו 'בעל חוב' גדול של כולנו. נימוק זה צריך ביאור: האם שורשו הוא שמדובר באותו בעל חוב, או שדין זה ייחודי להקדש. ההסבר הראשון יכול לחול על כל בעל חוב: </w:t>
      </w:r>
    </w:p>
    <w:p w14:paraId="146BEFB0" w14:textId="77777777" w:rsidR="004A5E4F" w:rsidRDefault="004A5E4F" w:rsidP="004A5E4F">
      <w:pPr>
        <w:ind w:left="720"/>
        <w:rPr>
          <w:rFonts w:asciiTheme="majorBidi" w:hAnsiTheme="majorBidi" w:cstheme="majorBidi"/>
          <w:sz w:val="24"/>
          <w:szCs w:val="24"/>
          <w:rtl/>
        </w:rPr>
      </w:pPr>
      <w:r>
        <w:rPr>
          <w:rFonts w:ascii="David" w:hAnsi="David" w:cs="David"/>
          <w:b/>
          <w:bCs/>
          <w:sz w:val="24"/>
          <w:szCs w:val="24"/>
          <w:rtl/>
        </w:rPr>
        <w:t>הוא מטעם מחילה</w:t>
      </w:r>
      <w:r>
        <w:rPr>
          <w:rFonts w:ascii="David" w:hAnsi="David" w:cs="David"/>
          <w:sz w:val="24"/>
          <w:szCs w:val="24"/>
          <w:rtl/>
        </w:rPr>
        <w:t xml:space="preserve">, </w:t>
      </w:r>
      <w:proofErr w:type="spellStart"/>
      <w:r>
        <w:rPr>
          <w:rFonts w:ascii="David" w:hAnsi="David" w:cs="David"/>
          <w:sz w:val="24"/>
          <w:szCs w:val="24"/>
          <w:rtl/>
        </w:rPr>
        <w:t>דכיוון</w:t>
      </w:r>
      <w:proofErr w:type="spellEnd"/>
      <w:r>
        <w:rPr>
          <w:rFonts w:ascii="David" w:hAnsi="David" w:cs="David"/>
          <w:sz w:val="24"/>
          <w:szCs w:val="24"/>
          <w:rtl/>
        </w:rPr>
        <w:t xml:space="preserve"> </w:t>
      </w:r>
      <w:proofErr w:type="spellStart"/>
      <w:r>
        <w:rPr>
          <w:rFonts w:ascii="David" w:hAnsi="David" w:cs="David"/>
          <w:sz w:val="24"/>
          <w:szCs w:val="24"/>
          <w:rtl/>
        </w:rPr>
        <w:t>דחייב</w:t>
      </w:r>
      <w:proofErr w:type="spellEnd"/>
      <w:r>
        <w:rPr>
          <w:rFonts w:ascii="David" w:hAnsi="David" w:cs="David"/>
          <w:sz w:val="24"/>
          <w:szCs w:val="24"/>
          <w:rtl/>
        </w:rPr>
        <w:t xml:space="preserve"> לו שתי חובות והוא נוטל זה עבור החוב השני, </w:t>
      </w:r>
      <w:r>
        <w:rPr>
          <w:rFonts w:ascii="David" w:hAnsi="David" w:cs="David"/>
          <w:b/>
          <w:bCs/>
          <w:sz w:val="24"/>
          <w:szCs w:val="24"/>
          <w:rtl/>
        </w:rPr>
        <w:t>מסתמא מחל</w:t>
      </w:r>
      <w:r>
        <w:rPr>
          <w:rFonts w:ascii="David" w:hAnsi="David" w:cs="David"/>
          <w:sz w:val="24"/>
          <w:szCs w:val="24"/>
          <w:rtl/>
        </w:rPr>
        <w:t xml:space="preserve"> ונסתלק </w:t>
      </w:r>
      <w:proofErr w:type="spellStart"/>
      <w:r>
        <w:rPr>
          <w:rFonts w:ascii="David" w:hAnsi="David" w:cs="David"/>
          <w:sz w:val="24"/>
          <w:szCs w:val="24"/>
          <w:rtl/>
        </w:rPr>
        <w:t>ונתיאש</w:t>
      </w:r>
      <w:proofErr w:type="spellEnd"/>
      <w:r>
        <w:rPr>
          <w:rFonts w:ascii="David" w:hAnsi="David" w:cs="David"/>
          <w:sz w:val="24"/>
          <w:szCs w:val="24"/>
          <w:rtl/>
        </w:rPr>
        <w:t xml:space="preserve"> משעבוד הנכסים שיש לו עבור שעבוד הראשון... אכן קשה לי... הרי </w:t>
      </w:r>
      <w:proofErr w:type="spellStart"/>
      <w:r>
        <w:rPr>
          <w:rFonts w:ascii="David" w:hAnsi="David" w:cs="David"/>
          <w:sz w:val="24"/>
          <w:szCs w:val="24"/>
          <w:rtl/>
        </w:rPr>
        <w:t>פסקינן</w:t>
      </w:r>
      <w:proofErr w:type="spellEnd"/>
      <w:r>
        <w:rPr>
          <w:rStyle w:val="a6"/>
          <w:rFonts w:ascii="David" w:hAnsi="David" w:cs="David"/>
          <w:sz w:val="24"/>
          <w:szCs w:val="24"/>
          <w:rtl/>
        </w:rPr>
        <w:footnoteReference w:id="15"/>
      </w:r>
      <w:r>
        <w:rPr>
          <w:rFonts w:ascii="David" w:hAnsi="David" w:cs="David"/>
          <w:sz w:val="24"/>
          <w:szCs w:val="24"/>
          <w:rtl/>
        </w:rPr>
        <w:t xml:space="preserve"> דאם אחד חייב שתי חובות לאחד – הרשות ביד המלווה לומר לזה אני נוטל. </w:t>
      </w:r>
      <w:proofErr w:type="spellStart"/>
      <w:r>
        <w:rPr>
          <w:rFonts w:ascii="David" w:hAnsi="David" w:cs="David"/>
          <w:sz w:val="24"/>
          <w:szCs w:val="24"/>
          <w:rtl/>
        </w:rPr>
        <w:t>אמאי</w:t>
      </w:r>
      <w:proofErr w:type="spellEnd"/>
      <w:r>
        <w:rPr>
          <w:rFonts w:ascii="David" w:hAnsi="David" w:cs="David"/>
          <w:sz w:val="24"/>
          <w:szCs w:val="24"/>
          <w:rtl/>
        </w:rPr>
        <w:t xml:space="preserve"> לא </w:t>
      </w:r>
      <w:proofErr w:type="spellStart"/>
      <w:r>
        <w:rPr>
          <w:rFonts w:ascii="David" w:hAnsi="David" w:cs="David"/>
          <w:sz w:val="24"/>
          <w:szCs w:val="24"/>
          <w:rtl/>
        </w:rPr>
        <w:t>נימא</w:t>
      </w:r>
      <w:proofErr w:type="spellEnd"/>
      <w:r>
        <w:rPr>
          <w:rFonts w:ascii="David" w:hAnsi="David" w:cs="David"/>
          <w:sz w:val="24"/>
          <w:szCs w:val="24"/>
          <w:rtl/>
        </w:rPr>
        <w:t xml:space="preserve"> </w:t>
      </w:r>
      <w:proofErr w:type="spellStart"/>
      <w:r>
        <w:rPr>
          <w:rFonts w:ascii="David" w:hAnsi="David" w:cs="David"/>
          <w:sz w:val="24"/>
          <w:szCs w:val="24"/>
          <w:rtl/>
        </w:rPr>
        <w:t>דההקדש</w:t>
      </w:r>
      <w:proofErr w:type="spellEnd"/>
      <w:r>
        <w:rPr>
          <w:rFonts w:ascii="David" w:hAnsi="David" w:cs="David"/>
          <w:sz w:val="24"/>
          <w:szCs w:val="24"/>
          <w:rtl/>
        </w:rPr>
        <w:t xml:space="preserve"> נוטל זה הד' עבור חוב הראשון? הגם </w:t>
      </w:r>
      <w:proofErr w:type="spellStart"/>
      <w:r>
        <w:rPr>
          <w:rFonts w:ascii="David" w:hAnsi="David" w:cs="David"/>
          <w:sz w:val="24"/>
          <w:szCs w:val="24"/>
          <w:rtl/>
        </w:rPr>
        <w:t>דההקדש</w:t>
      </w:r>
      <w:proofErr w:type="spellEnd"/>
      <w:r>
        <w:rPr>
          <w:rFonts w:ascii="David" w:hAnsi="David" w:cs="David"/>
          <w:sz w:val="24"/>
          <w:szCs w:val="24"/>
          <w:rtl/>
        </w:rPr>
        <w:t xml:space="preserve"> לא אמר שום דבר, הרי </w:t>
      </w:r>
      <w:proofErr w:type="spellStart"/>
      <w:r>
        <w:rPr>
          <w:rFonts w:ascii="David" w:hAnsi="David" w:cs="David"/>
          <w:sz w:val="24"/>
          <w:szCs w:val="24"/>
          <w:rtl/>
        </w:rPr>
        <w:t>אמרינן</w:t>
      </w:r>
      <w:proofErr w:type="spellEnd"/>
      <w:r>
        <w:rPr>
          <w:rFonts w:ascii="David" w:hAnsi="David" w:cs="David"/>
          <w:sz w:val="24"/>
          <w:szCs w:val="24"/>
          <w:rtl/>
        </w:rPr>
        <w:t xml:space="preserve"> </w:t>
      </w:r>
      <w:proofErr w:type="spellStart"/>
      <w:r>
        <w:rPr>
          <w:rFonts w:ascii="David" w:hAnsi="David" w:cs="David"/>
          <w:sz w:val="24"/>
          <w:szCs w:val="24"/>
          <w:rtl/>
        </w:rPr>
        <w:t>דהקדש</w:t>
      </w:r>
      <w:proofErr w:type="spellEnd"/>
      <w:r>
        <w:rPr>
          <w:rFonts w:ascii="David" w:hAnsi="David" w:cs="David"/>
          <w:sz w:val="24"/>
          <w:szCs w:val="24"/>
          <w:rtl/>
        </w:rPr>
        <w:t xml:space="preserve"> שלא מדעת כהדיוט מדעת</w:t>
      </w:r>
      <w:r>
        <w:rPr>
          <w:rStyle w:val="a6"/>
          <w:rFonts w:ascii="David" w:hAnsi="David" w:cs="David"/>
          <w:sz w:val="24"/>
          <w:szCs w:val="24"/>
          <w:rtl/>
        </w:rPr>
        <w:footnoteReference w:id="16"/>
      </w:r>
      <w:r>
        <w:rPr>
          <w:rFonts w:ascii="David" w:hAnsi="David" w:cs="David"/>
          <w:sz w:val="24"/>
          <w:szCs w:val="24"/>
          <w:rtl/>
        </w:rPr>
        <w:t xml:space="preserve"> </w:t>
      </w:r>
      <w:proofErr w:type="spellStart"/>
      <w:r>
        <w:rPr>
          <w:rFonts w:ascii="David" w:hAnsi="David" w:cs="David"/>
          <w:sz w:val="24"/>
          <w:szCs w:val="24"/>
          <w:rtl/>
        </w:rPr>
        <w:t>והכא</w:t>
      </w:r>
      <w:proofErr w:type="spellEnd"/>
      <w:r>
        <w:rPr>
          <w:rFonts w:ascii="David" w:hAnsi="David" w:cs="David"/>
          <w:sz w:val="24"/>
          <w:szCs w:val="24"/>
          <w:rtl/>
        </w:rPr>
        <w:t xml:space="preserve"> נמי </w:t>
      </w:r>
      <w:proofErr w:type="spellStart"/>
      <w:r>
        <w:rPr>
          <w:rFonts w:ascii="David" w:hAnsi="David" w:cs="David"/>
          <w:sz w:val="24"/>
          <w:szCs w:val="24"/>
          <w:rtl/>
        </w:rPr>
        <w:t>נימא</w:t>
      </w:r>
      <w:proofErr w:type="spellEnd"/>
      <w:r>
        <w:rPr>
          <w:rFonts w:ascii="David" w:hAnsi="David" w:cs="David"/>
          <w:sz w:val="24"/>
          <w:szCs w:val="24"/>
          <w:rtl/>
        </w:rPr>
        <w:t xml:space="preserve"> דהוי כמו שאמר הקדש אני נוטל לראשון</w:t>
      </w:r>
      <w:r>
        <w:rPr>
          <w:rStyle w:val="a6"/>
          <w:rFonts w:ascii="David" w:hAnsi="David" w:cs="David"/>
          <w:sz w:val="24"/>
          <w:szCs w:val="24"/>
          <w:rtl/>
        </w:rPr>
        <w:footnoteReference w:id="17"/>
      </w:r>
      <w:r>
        <w:rPr>
          <w:rFonts w:ascii="David" w:hAnsi="David" w:cs="David"/>
          <w:sz w:val="24"/>
          <w:szCs w:val="24"/>
          <w:rtl/>
        </w:rPr>
        <w:t xml:space="preserve">. </w:t>
      </w:r>
    </w:p>
    <w:p w14:paraId="0BD6DCAD" w14:textId="77777777" w:rsidR="004A5E4F" w:rsidRDefault="004A5E4F" w:rsidP="004A5E4F">
      <w:pPr>
        <w:rPr>
          <w:rFonts w:asciiTheme="majorBidi" w:hAnsiTheme="majorBidi" w:cstheme="majorBidi"/>
          <w:sz w:val="24"/>
          <w:szCs w:val="24"/>
          <w:rtl/>
        </w:rPr>
      </w:pPr>
      <w:r>
        <w:rPr>
          <w:rFonts w:asciiTheme="majorBidi" w:hAnsiTheme="majorBidi" w:cstheme="majorBidi"/>
          <w:sz w:val="24"/>
          <w:szCs w:val="24"/>
          <w:rtl/>
        </w:rPr>
        <w:t xml:space="preserve">באמת ניתן לומר שאין כאן טעם של מחילה, אלא דין ייחודי של הקדש. כך משמע מדברי </w:t>
      </w:r>
      <w:proofErr w:type="spellStart"/>
      <w:r>
        <w:rPr>
          <w:rFonts w:asciiTheme="majorBidi" w:hAnsiTheme="majorBidi" w:cstheme="majorBidi"/>
          <w:sz w:val="24"/>
          <w:szCs w:val="24"/>
          <w:rtl/>
        </w:rPr>
        <w:t>הריטב"א</w:t>
      </w:r>
      <w:proofErr w:type="spellEnd"/>
      <w:r>
        <w:rPr>
          <w:rFonts w:asciiTheme="majorBidi" w:hAnsiTheme="majorBidi" w:cstheme="majorBidi"/>
          <w:sz w:val="24"/>
          <w:szCs w:val="24"/>
          <w:rtl/>
        </w:rPr>
        <w:t xml:space="preserve">: </w:t>
      </w:r>
      <w:r>
        <w:rPr>
          <w:rFonts w:ascii="David" w:hAnsi="David" w:cs="David"/>
          <w:sz w:val="24"/>
          <w:szCs w:val="24"/>
          <w:rtl/>
        </w:rPr>
        <w:t>"</w:t>
      </w:r>
      <w:proofErr w:type="spellStart"/>
      <w:r>
        <w:rPr>
          <w:rFonts w:ascii="David" w:hAnsi="David" w:cs="David"/>
          <w:sz w:val="24"/>
          <w:szCs w:val="24"/>
          <w:rtl/>
        </w:rPr>
        <w:t>הכל</w:t>
      </w:r>
      <w:proofErr w:type="spellEnd"/>
      <w:r>
        <w:rPr>
          <w:rFonts w:ascii="David" w:hAnsi="David" w:cs="David"/>
          <w:sz w:val="24"/>
          <w:szCs w:val="24"/>
          <w:rtl/>
        </w:rPr>
        <w:t xml:space="preserve"> להקדש ואין הקדש מוציא מידי הקדש</w:t>
      </w:r>
      <w:r>
        <w:rPr>
          <w:rStyle w:val="a6"/>
          <w:rFonts w:ascii="David" w:hAnsi="David" w:cs="David"/>
          <w:sz w:val="24"/>
          <w:szCs w:val="24"/>
        </w:rPr>
        <w:footnoteReference w:id="18"/>
      </w:r>
      <w:r>
        <w:rPr>
          <w:rFonts w:ascii="David" w:hAnsi="David" w:cs="David"/>
          <w:sz w:val="24"/>
          <w:szCs w:val="24"/>
          <w:rtl/>
        </w:rPr>
        <w:t>".</w:t>
      </w:r>
      <w:r>
        <w:rPr>
          <w:rFonts w:asciiTheme="majorBidi" w:hAnsiTheme="majorBidi" w:cstheme="majorBidi"/>
          <w:sz w:val="24"/>
          <w:szCs w:val="24"/>
          <w:rtl/>
        </w:rPr>
        <w:t xml:space="preserve"> נחזור לכך בהמשך.</w:t>
      </w:r>
    </w:p>
    <w:p w14:paraId="4CDC92FE" w14:textId="77777777" w:rsidR="004A5E4F" w:rsidRDefault="004A5E4F" w:rsidP="004A5E4F">
      <w:pPr>
        <w:pStyle w:val="a3"/>
        <w:numPr>
          <w:ilvl w:val="0"/>
          <w:numId w:val="4"/>
        </w:numPr>
        <w:spacing w:after="0" w:line="360" w:lineRule="auto"/>
        <w:rPr>
          <w:rFonts w:ascii="David" w:hAnsi="David" w:cs="David"/>
          <w:sz w:val="24"/>
          <w:szCs w:val="24"/>
        </w:rPr>
      </w:pPr>
      <w:r>
        <w:rPr>
          <w:rFonts w:ascii="David" w:hAnsi="David" w:cs="David"/>
          <w:sz w:val="24"/>
          <w:szCs w:val="24"/>
          <w:rtl/>
        </w:rPr>
        <w:t xml:space="preserve"> "עוד יש לומר </w:t>
      </w:r>
      <w:r>
        <w:rPr>
          <w:rFonts w:ascii="David" w:hAnsi="David" w:cs="David"/>
          <w:b/>
          <w:bCs/>
          <w:sz w:val="24"/>
          <w:szCs w:val="24"/>
          <w:rtl/>
        </w:rPr>
        <w:t>דבערכין מלוה על פה</w:t>
      </w:r>
      <w:r>
        <w:rPr>
          <w:rFonts w:ascii="David" w:hAnsi="David" w:cs="David"/>
          <w:sz w:val="24"/>
          <w:szCs w:val="24"/>
          <w:rtl/>
        </w:rPr>
        <w:t xml:space="preserve"> הלכך מה שגבה גבה וקסבר מלוה הכתובה בתורה לאו ככתובה בשטר דמיא וחזר רבינו תם מתירוץ זה</w:t>
      </w:r>
      <w:r>
        <w:rPr>
          <w:rStyle w:val="a6"/>
          <w:rFonts w:ascii="David" w:hAnsi="David" w:cs="David"/>
          <w:sz w:val="24"/>
          <w:szCs w:val="24"/>
          <w:rtl/>
        </w:rPr>
        <w:footnoteReference w:id="19"/>
      </w:r>
      <w:r>
        <w:rPr>
          <w:rFonts w:ascii="David" w:hAnsi="David" w:cs="David"/>
          <w:sz w:val="24"/>
          <w:szCs w:val="24"/>
          <w:rtl/>
        </w:rPr>
        <w:t>".</w:t>
      </w:r>
    </w:p>
    <w:p w14:paraId="44FFF250" w14:textId="77777777" w:rsidR="004A5E4F" w:rsidRDefault="004A5E4F" w:rsidP="004A5E4F">
      <w:pPr>
        <w:pStyle w:val="a3"/>
        <w:numPr>
          <w:ilvl w:val="0"/>
          <w:numId w:val="3"/>
        </w:numPr>
        <w:spacing w:after="0" w:line="360" w:lineRule="auto"/>
        <w:rPr>
          <w:rFonts w:asciiTheme="majorBidi" w:hAnsiTheme="majorBidi" w:cstheme="majorBidi"/>
          <w:sz w:val="24"/>
          <w:szCs w:val="24"/>
        </w:rPr>
      </w:pPr>
      <w:r>
        <w:rPr>
          <w:rFonts w:asciiTheme="majorBidi" w:hAnsiTheme="majorBidi" w:cstheme="majorBidi"/>
          <w:b/>
          <w:bCs/>
          <w:sz w:val="24"/>
          <w:szCs w:val="24"/>
          <w:rtl/>
        </w:rPr>
        <w:t>שיטת הרמב"ם</w:t>
      </w:r>
    </w:p>
    <w:p w14:paraId="29FFD150" w14:textId="77777777" w:rsidR="004A5E4F" w:rsidRDefault="004A5E4F" w:rsidP="004A5E4F">
      <w:pPr>
        <w:rPr>
          <w:rFonts w:asciiTheme="majorBidi" w:hAnsiTheme="majorBidi" w:cstheme="majorBidi"/>
          <w:sz w:val="24"/>
          <w:szCs w:val="24"/>
          <w:rtl/>
        </w:rPr>
      </w:pPr>
      <w:r>
        <w:rPr>
          <w:rFonts w:asciiTheme="majorBidi" w:hAnsiTheme="majorBidi" w:cstheme="majorBidi"/>
          <w:sz w:val="24"/>
          <w:szCs w:val="24"/>
          <w:rtl/>
        </w:rPr>
        <w:t xml:space="preserve">שיטת הרמב"ם צריכה ביאור, שכן מחד הוא פוסק: </w:t>
      </w:r>
    </w:p>
    <w:p w14:paraId="560DB344" w14:textId="77777777" w:rsidR="004A5E4F" w:rsidRDefault="004A5E4F" w:rsidP="004A5E4F">
      <w:pPr>
        <w:ind w:left="720"/>
        <w:rPr>
          <w:rFonts w:asciiTheme="majorBidi" w:hAnsiTheme="majorBidi" w:cstheme="majorBidi"/>
          <w:sz w:val="24"/>
          <w:szCs w:val="24"/>
          <w:rtl/>
        </w:rPr>
      </w:pPr>
      <w:r>
        <w:rPr>
          <w:rFonts w:ascii="David" w:hAnsi="David" w:cs="David"/>
          <w:sz w:val="24"/>
          <w:szCs w:val="24"/>
          <w:rtl/>
        </w:rPr>
        <w:t xml:space="preserve">מי שיש לו חובות הרבה כל שקדם חובו גובה תחלה בין מן </w:t>
      </w:r>
      <w:proofErr w:type="spellStart"/>
      <w:r>
        <w:rPr>
          <w:rFonts w:ascii="David" w:hAnsi="David" w:cs="David"/>
          <w:sz w:val="24"/>
          <w:szCs w:val="24"/>
          <w:rtl/>
        </w:rPr>
        <w:t>הלוה</w:t>
      </w:r>
      <w:proofErr w:type="spellEnd"/>
      <w:r>
        <w:rPr>
          <w:rFonts w:ascii="David" w:hAnsi="David" w:cs="David"/>
          <w:sz w:val="24"/>
          <w:szCs w:val="24"/>
          <w:rtl/>
        </w:rPr>
        <w:t xml:space="preserve"> עצמו בין מן הלקוחות, ואם </w:t>
      </w:r>
      <w:r>
        <w:rPr>
          <w:rFonts w:ascii="David" w:hAnsi="David" w:cs="David"/>
          <w:b/>
          <w:bCs/>
          <w:sz w:val="24"/>
          <w:szCs w:val="24"/>
          <w:rtl/>
        </w:rPr>
        <w:t>קדם האחרון וגבה מוציאים מידו</w:t>
      </w:r>
      <w:r>
        <w:rPr>
          <w:rFonts w:ascii="David" w:hAnsi="David" w:cs="David"/>
          <w:sz w:val="24"/>
          <w:szCs w:val="24"/>
          <w:rtl/>
        </w:rPr>
        <w:t xml:space="preserve"> שכל שקדם חובו זכה</w:t>
      </w:r>
      <w:r>
        <w:rPr>
          <w:rStyle w:val="a6"/>
          <w:rFonts w:ascii="David" w:hAnsi="David" w:cs="David"/>
          <w:sz w:val="24"/>
          <w:szCs w:val="24"/>
          <w:rtl/>
        </w:rPr>
        <w:footnoteReference w:id="20"/>
      </w:r>
      <w:r>
        <w:rPr>
          <w:rFonts w:ascii="David" w:hAnsi="David" w:cs="David"/>
          <w:sz w:val="24"/>
          <w:szCs w:val="24"/>
          <w:rtl/>
        </w:rPr>
        <w:t xml:space="preserve">. </w:t>
      </w:r>
    </w:p>
    <w:p w14:paraId="66A3234C" w14:textId="77777777" w:rsidR="004A5E4F" w:rsidRDefault="004A5E4F" w:rsidP="004A5E4F">
      <w:pPr>
        <w:rPr>
          <w:rFonts w:ascii="David" w:hAnsi="David" w:cs="David"/>
          <w:sz w:val="24"/>
          <w:szCs w:val="24"/>
          <w:rtl/>
        </w:rPr>
      </w:pPr>
      <w:r>
        <w:rPr>
          <w:rFonts w:asciiTheme="majorBidi" w:hAnsiTheme="majorBidi" w:cstheme="majorBidi"/>
          <w:sz w:val="24"/>
          <w:szCs w:val="24"/>
          <w:rtl/>
        </w:rPr>
        <w:t>ומאידך את ההלכה שבסוגייתנו:</w:t>
      </w:r>
      <w:r>
        <w:rPr>
          <w:rFonts w:ascii="David" w:hAnsi="David" w:cs="David"/>
          <w:sz w:val="24"/>
          <w:szCs w:val="24"/>
          <w:rtl/>
        </w:rPr>
        <w:t xml:space="preserve"> </w:t>
      </w:r>
    </w:p>
    <w:p w14:paraId="1B8E1485" w14:textId="77777777" w:rsidR="004A5E4F" w:rsidRDefault="004A5E4F" w:rsidP="004A5E4F">
      <w:pPr>
        <w:ind w:left="720"/>
        <w:rPr>
          <w:rFonts w:asciiTheme="majorBidi" w:hAnsiTheme="majorBidi" w:cstheme="majorBidi"/>
          <w:sz w:val="24"/>
          <w:szCs w:val="24"/>
          <w:rtl/>
        </w:rPr>
      </w:pPr>
      <w:r>
        <w:rPr>
          <w:rFonts w:ascii="David" w:hAnsi="David" w:cs="David"/>
          <w:sz w:val="24"/>
          <w:szCs w:val="24"/>
          <w:rtl/>
        </w:rPr>
        <w:t xml:space="preserve">האומר ערכי עלי וחזר ואמר ערכי עלי והיו בידו עשר סלעים ונתן תשע </w:t>
      </w:r>
      <w:proofErr w:type="spellStart"/>
      <w:r>
        <w:rPr>
          <w:rFonts w:ascii="David" w:hAnsi="David" w:cs="David"/>
          <w:sz w:val="24"/>
          <w:szCs w:val="24"/>
          <w:rtl/>
        </w:rPr>
        <w:t>לשניה</w:t>
      </w:r>
      <w:proofErr w:type="spellEnd"/>
      <w:r>
        <w:rPr>
          <w:rFonts w:ascii="David" w:hAnsi="David" w:cs="David"/>
          <w:sz w:val="24"/>
          <w:szCs w:val="24"/>
          <w:rtl/>
        </w:rPr>
        <w:t xml:space="preserve"> וסלע לראשונה יצא ידי שתיהן, </w:t>
      </w:r>
      <w:proofErr w:type="spellStart"/>
      <w:r>
        <w:rPr>
          <w:rFonts w:ascii="David" w:hAnsi="David" w:cs="David"/>
          <w:sz w:val="24"/>
          <w:szCs w:val="24"/>
          <w:rtl/>
        </w:rPr>
        <w:t>שהערכין</w:t>
      </w:r>
      <w:proofErr w:type="spellEnd"/>
      <w:r>
        <w:rPr>
          <w:rFonts w:ascii="David" w:hAnsi="David" w:cs="David"/>
          <w:sz w:val="24"/>
          <w:szCs w:val="24"/>
          <w:rtl/>
        </w:rPr>
        <w:t xml:space="preserve"> לאו כחובות הן, שאע"פ שכל מה שבידו משועבד לראשונה, </w:t>
      </w:r>
      <w:r>
        <w:rPr>
          <w:rFonts w:ascii="David" w:hAnsi="David" w:cs="David"/>
          <w:b/>
          <w:bCs/>
          <w:sz w:val="24"/>
          <w:szCs w:val="24"/>
          <w:rtl/>
        </w:rPr>
        <w:t>הקדש מאוחר שגבה גבה</w:t>
      </w:r>
      <w:r>
        <w:rPr>
          <w:rStyle w:val="a6"/>
          <w:rFonts w:asciiTheme="majorBidi" w:hAnsiTheme="majorBidi" w:cstheme="majorBidi"/>
          <w:sz w:val="24"/>
          <w:szCs w:val="24"/>
          <w:rtl/>
        </w:rPr>
        <w:footnoteReference w:id="21"/>
      </w:r>
      <w:r>
        <w:rPr>
          <w:rFonts w:asciiTheme="majorBidi" w:hAnsiTheme="majorBidi" w:cstheme="majorBidi"/>
          <w:sz w:val="24"/>
          <w:szCs w:val="24"/>
          <w:rtl/>
        </w:rPr>
        <w:t>.</w:t>
      </w:r>
    </w:p>
    <w:p w14:paraId="34B5FA19" w14:textId="77777777" w:rsidR="004A5E4F" w:rsidRDefault="004A5E4F" w:rsidP="004A5E4F">
      <w:pPr>
        <w:rPr>
          <w:rFonts w:asciiTheme="majorBidi" w:hAnsiTheme="majorBidi" w:cstheme="majorBidi"/>
          <w:sz w:val="24"/>
          <w:szCs w:val="24"/>
          <w:rtl/>
        </w:rPr>
      </w:pPr>
      <w:r>
        <w:rPr>
          <w:rFonts w:asciiTheme="majorBidi" w:hAnsiTheme="majorBidi" w:cstheme="majorBidi"/>
          <w:sz w:val="24"/>
          <w:szCs w:val="24"/>
          <w:rtl/>
        </w:rPr>
        <w:t xml:space="preserve">בלחם משנה תמה, שהרי הרמב"ם דן בקרקעות, ואם כן מדוע מה שגבה גבה? וסיים: </w:t>
      </w:r>
    </w:p>
    <w:p w14:paraId="44486B5F" w14:textId="77777777" w:rsidR="004A5E4F" w:rsidRDefault="004A5E4F" w:rsidP="004A5E4F">
      <w:pPr>
        <w:rPr>
          <w:rFonts w:asciiTheme="majorBidi" w:hAnsiTheme="majorBidi" w:cstheme="majorBidi"/>
          <w:sz w:val="24"/>
          <w:szCs w:val="24"/>
          <w:rtl/>
        </w:rPr>
      </w:pPr>
      <w:r>
        <w:rPr>
          <w:rFonts w:ascii="David" w:hAnsi="David" w:cs="David"/>
          <w:sz w:val="24"/>
          <w:szCs w:val="24"/>
          <w:rtl/>
        </w:rPr>
        <w:t xml:space="preserve">"ואולי </w:t>
      </w:r>
      <w:proofErr w:type="spellStart"/>
      <w:r>
        <w:rPr>
          <w:rFonts w:ascii="David" w:hAnsi="David" w:cs="David"/>
          <w:sz w:val="24"/>
          <w:szCs w:val="24"/>
          <w:rtl/>
        </w:rPr>
        <w:t>גירסא</w:t>
      </w:r>
      <w:proofErr w:type="spellEnd"/>
      <w:r>
        <w:rPr>
          <w:rFonts w:ascii="David" w:hAnsi="David" w:cs="David"/>
          <w:sz w:val="24"/>
          <w:szCs w:val="24"/>
          <w:rtl/>
        </w:rPr>
        <w:t xml:space="preserve"> אחרת </w:t>
      </w:r>
      <w:proofErr w:type="spellStart"/>
      <w:r>
        <w:rPr>
          <w:rFonts w:ascii="David" w:hAnsi="David" w:cs="David"/>
          <w:sz w:val="24"/>
          <w:szCs w:val="24"/>
          <w:rtl/>
        </w:rPr>
        <w:t>היתה</w:t>
      </w:r>
      <w:proofErr w:type="spellEnd"/>
      <w:r>
        <w:rPr>
          <w:rFonts w:ascii="David" w:hAnsi="David" w:cs="David"/>
          <w:sz w:val="24"/>
          <w:szCs w:val="24"/>
          <w:rtl/>
        </w:rPr>
        <w:t xml:space="preserve"> לו שם בגמרא </w:t>
      </w:r>
      <w:proofErr w:type="spellStart"/>
      <w:r>
        <w:rPr>
          <w:rFonts w:ascii="David" w:hAnsi="David" w:cs="David"/>
          <w:sz w:val="24"/>
          <w:szCs w:val="24"/>
          <w:rtl/>
        </w:rPr>
        <w:t>דקאמר</w:t>
      </w:r>
      <w:proofErr w:type="spellEnd"/>
      <w:r>
        <w:rPr>
          <w:rFonts w:ascii="David" w:hAnsi="David" w:cs="David"/>
          <w:sz w:val="24"/>
          <w:szCs w:val="24"/>
          <w:rtl/>
        </w:rPr>
        <w:t xml:space="preserve"> מאי טעמא הקדש מאוחר מה שגבה גבה</w:t>
      </w:r>
      <w:r>
        <w:rPr>
          <w:rStyle w:val="a6"/>
          <w:rFonts w:ascii="David" w:hAnsi="David" w:cs="David"/>
          <w:sz w:val="24"/>
          <w:szCs w:val="24"/>
          <w:rtl/>
        </w:rPr>
        <w:footnoteReference w:id="22"/>
      </w:r>
      <w:r>
        <w:rPr>
          <w:rFonts w:ascii="David" w:hAnsi="David" w:cs="David"/>
          <w:sz w:val="24"/>
          <w:szCs w:val="24"/>
          <w:rtl/>
        </w:rPr>
        <w:t xml:space="preserve">". </w:t>
      </w:r>
      <w:r>
        <w:rPr>
          <w:rFonts w:asciiTheme="majorBidi" w:hAnsiTheme="majorBidi" w:cstheme="majorBidi"/>
          <w:sz w:val="24"/>
          <w:szCs w:val="24"/>
          <w:rtl/>
        </w:rPr>
        <w:t xml:space="preserve">או שנאמר: </w:t>
      </w:r>
      <w:r>
        <w:rPr>
          <w:rFonts w:ascii="David" w:hAnsi="David" w:cs="David"/>
          <w:sz w:val="24"/>
          <w:szCs w:val="24"/>
          <w:rtl/>
        </w:rPr>
        <w:t xml:space="preserve">"ע"כ דמה שאמרו בגמ' מאי טעמא בע"ח מאוחר, היינו </w:t>
      </w:r>
      <w:r>
        <w:rPr>
          <w:rFonts w:ascii="David" w:hAnsi="David" w:cs="David"/>
          <w:b/>
          <w:bCs/>
          <w:sz w:val="24"/>
          <w:szCs w:val="24"/>
          <w:rtl/>
        </w:rPr>
        <w:t xml:space="preserve">בע"ח </w:t>
      </w:r>
      <w:proofErr w:type="spellStart"/>
      <w:r>
        <w:rPr>
          <w:rFonts w:ascii="David" w:hAnsi="David" w:cs="David"/>
          <w:b/>
          <w:bCs/>
          <w:sz w:val="24"/>
          <w:szCs w:val="24"/>
          <w:rtl/>
        </w:rPr>
        <w:t>דהקדש</w:t>
      </w:r>
      <w:proofErr w:type="spellEnd"/>
      <w:r>
        <w:rPr>
          <w:rFonts w:ascii="David" w:hAnsi="David" w:cs="David"/>
          <w:sz w:val="24"/>
          <w:szCs w:val="24"/>
          <w:rtl/>
        </w:rPr>
        <w:t xml:space="preserve"> </w:t>
      </w:r>
      <w:proofErr w:type="spellStart"/>
      <w:r>
        <w:rPr>
          <w:rFonts w:ascii="David" w:hAnsi="David" w:cs="David"/>
          <w:sz w:val="24"/>
          <w:szCs w:val="24"/>
          <w:rtl/>
        </w:rPr>
        <w:t>והיכא</w:t>
      </w:r>
      <w:proofErr w:type="spellEnd"/>
      <w:r>
        <w:rPr>
          <w:rFonts w:ascii="David" w:hAnsi="David" w:cs="David"/>
          <w:sz w:val="24"/>
          <w:szCs w:val="24"/>
          <w:rtl/>
        </w:rPr>
        <w:t xml:space="preserve"> </w:t>
      </w:r>
      <w:proofErr w:type="spellStart"/>
      <w:r>
        <w:rPr>
          <w:rFonts w:ascii="David" w:hAnsi="David" w:cs="David"/>
          <w:sz w:val="24"/>
          <w:szCs w:val="24"/>
          <w:rtl/>
        </w:rPr>
        <w:t>דהכל</w:t>
      </w:r>
      <w:proofErr w:type="spellEnd"/>
      <w:r>
        <w:rPr>
          <w:rFonts w:ascii="David" w:hAnsi="David" w:cs="David"/>
          <w:sz w:val="24"/>
          <w:szCs w:val="24"/>
          <w:rtl/>
        </w:rPr>
        <w:t xml:space="preserve"> להקדש</w:t>
      </w:r>
      <w:r>
        <w:rPr>
          <w:rStyle w:val="a6"/>
          <w:rFonts w:ascii="David" w:hAnsi="David" w:cs="David"/>
          <w:sz w:val="24"/>
          <w:szCs w:val="24"/>
          <w:rtl/>
        </w:rPr>
        <w:footnoteReference w:id="23"/>
      </w:r>
      <w:r>
        <w:rPr>
          <w:rFonts w:ascii="David" w:hAnsi="David" w:cs="David"/>
          <w:sz w:val="24"/>
          <w:szCs w:val="24"/>
          <w:rtl/>
        </w:rPr>
        <w:t>".</w:t>
      </w:r>
      <w:r>
        <w:rPr>
          <w:rFonts w:asciiTheme="majorBidi" w:hAnsiTheme="majorBidi" w:cstheme="majorBidi"/>
          <w:sz w:val="24"/>
          <w:szCs w:val="24"/>
          <w:rtl/>
        </w:rPr>
        <w:t xml:space="preserve"> </w:t>
      </w:r>
    </w:p>
    <w:p w14:paraId="294BF0A2" w14:textId="77777777" w:rsidR="004A5E4F" w:rsidRDefault="004A5E4F" w:rsidP="004A5E4F">
      <w:pPr>
        <w:rPr>
          <w:rFonts w:asciiTheme="majorBidi" w:hAnsiTheme="majorBidi" w:cstheme="majorBidi"/>
          <w:sz w:val="24"/>
          <w:szCs w:val="24"/>
          <w:rtl/>
        </w:rPr>
      </w:pPr>
      <w:r>
        <w:rPr>
          <w:rFonts w:asciiTheme="majorBidi" w:hAnsiTheme="majorBidi" w:cstheme="majorBidi"/>
          <w:sz w:val="24"/>
          <w:szCs w:val="24"/>
          <w:rtl/>
        </w:rPr>
        <w:lastRenderedPageBreak/>
        <w:t xml:space="preserve">בעל קצות החושן מבאר את ייחוד הקדש. ראשית מדובר בקרקעות: </w:t>
      </w:r>
    </w:p>
    <w:p w14:paraId="615B3783" w14:textId="77777777" w:rsidR="004A5E4F" w:rsidRDefault="004A5E4F" w:rsidP="004A5E4F">
      <w:pPr>
        <w:ind w:left="720"/>
        <w:rPr>
          <w:rFonts w:asciiTheme="majorBidi" w:hAnsiTheme="majorBidi" w:cstheme="majorBidi"/>
          <w:sz w:val="24"/>
          <w:szCs w:val="24"/>
          <w:rtl/>
        </w:rPr>
      </w:pPr>
      <w:proofErr w:type="spellStart"/>
      <w:r>
        <w:rPr>
          <w:rFonts w:ascii="Arial" w:hAnsi="Arial" w:cs="David"/>
          <w:color w:val="222222"/>
          <w:sz w:val="24"/>
          <w:szCs w:val="24"/>
          <w:rtl/>
        </w:rPr>
        <w:t>מיירי</w:t>
      </w:r>
      <w:proofErr w:type="spellEnd"/>
      <w:r>
        <w:rPr>
          <w:rFonts w:ascii="Arial" w:hAnsi="Arial" w:cs="David"/>
          <w:color w:val="222222"/>
          <w:sz w:val="24"/>
          <w:szCs w:val="24"/>
          <w:rtl/>
        </w:rPr>
        <w:t xml:space="preserve"> מדברים שיש בהם דין קדימה, דאי </w:t>
      </w:r>
      <w:proofErr w:type="spellStart"/>
      <w:r>
        <w:rPr>
          <w:rFonts w:ascii="Arial" w:hAnsi="Arial" w:cs="David"/>
          <w:color w:val="222222"/>
          <w:sz w:val="24"/>
          <w:szCs w:val="24"/>
          <w:rtl/>
        </w:rPr>
        <w:t>מיירי</w:t>
      </w:r>
      <w:proofErr w:type="spellEnd"/>
      <w:r>
        <w:rPr>
          <w:rFonts w:ascii="Arial" w:hAnsi="Arial" w:cs="David"/>
          <w:color w:val="222222"/>
          <w:sz w:val="24"/>
          <w:szCs w:val="24"/>
          <w:rtl/>
        </w:rPr>
        <w:t xml:space="preserve"> </w:t>
      </w:r>
      <w:proofErr w:type="spellStart"/>
      <w:r>
        <w:rPr>
          <w:rFonts w:ascii="Arial" w:hAnsi="Arial" w:cs="David"/>
          <w:color w:val="222222"/>
          <w:sz w:val="24"/>
          <w:szCs w:val="24"/>
          <w:rtl/>
        </w:rPr>
        <w:t>במטלטלין</w:t>
      </w:r>
      <w:proofErr w:type="spellEnd"/>
      <w:r>
        <w:rPr>
          <w:rFonts w:ascii="Arial" w:hAnsi="Arial" w:cs="David"/>
          <w:color w:val="222222"/>
          <w:sz w:val="24"/>
          <w:szCs w:val="24"/>
          <w:rtl/>
        </w:rPr>
        <w:t xml:space="preserve"> למה כתב </w:t>
      </w:r>
      <w:proofErr w:type="spellStart"/>
      <w:r>
        <w:rPr>
          <w:rFonts w:ascii="Arial" w:hAnsi="Arial" w:cs="David"/>
          <w:color w:val="222222"/>
          <w:sz w:val="24"/>
          <w:szCs w:val="24"/>
          <w:rtl/>
        </w:rPr>
        <w:t>שהערכין</w:t>
      </w:r>
      <w:proofErr w:type="spellEnd"/>
      <w:r>
        <w:rPr>
          <w:rFonts w:ascii="Arial" w:hAnsi="Arial" w:cs="David"/>
          <w:color w:val="222222"/>
          <w:sz w:val="24"/>
          <w:szCs w:val="24"/>
          <w:rtl/>
        </w:rPr>
        <w:t xml:space="preserve"> לאו כחובות הא בכל חובות נמי מה שגבה גבה</w:t>
      </w:r>
      <w:r>
        <w:rPr>
          <w:rFonts w:asciiTheme="majorBidi" w:hAnsiTheme="majorBidi" w:cstheme="majorBidi"/>
          <w:sz w:val="24"/>
          <w:szCs w:val="24"/>
          <w:rtl/>
        </w:rPr>
        <w:t xml:space="preserve">...  </w:t>
      </w:r>
    </w:p>
    <w:p w14:paraId="036D936E" w14:textId="77777777" w:rsidR="004A5E4F" w:rsidRDefault="004A5E4F" w:rsidP="004A5E4F">
      <w:pPr>
        <w:rPr>
          <w:rFonts w:asciiTheme="majorBidi" w:hAnsiTheme="majorBidi" w:cstheme="majorBidi"/>
          <w:sz w:val="24"/>
          <w:szCs w:val="24"/>
          <w:rtl/>
        </w:rPr>
      </w:pPr>
      <w:r>
        <w:rPr>
          <w:rFonts w:asciiTheme="majorBidi" w:hAnsiTheme="majorBidi" w:cstheme="majorBidi"/>
          <w:sz w:val="24"/>
          <w:szCs w:val="24"/>
          <w:rtl/>
        </w:rPr>
        <w:t>4. ועוד כתב קצות החושן בהסבר הרמב"ם:</w:t>
      </w:r>
    </w:p>
    <w:p w14:paraId="1DBD9996" w14:textId="77777777" w:rsidR="004A5E4F" w:rsidRDefault="004A5E4F" w:rsidP="004A5E4F">
      <w:pPr>
        <w:ind w:left="720"/>
        <w:rPr>
          <w:rtl/>
        </w:rPr>
      </w:pPr>
      <w:r>
        <w:rPr>
          <w:rFonts w:ascii="David" w:hAnsi="David" w:cs="David"/>
          <w:rtl/>
        </w:rPr>
        <w:t xml:space="preserve">הרמב"ם לשיטתו פ"ז </w:t>
      </w:r>
      <w:proofErr w:type="spellStart"/>
      <w:r>
        <w:rPr>
          <w:rFonts w:ascii="David" w:hAnsi="David" w:cs="David"/>
          <w:rtl/>
        </w:rPr>
        <w:t>מערכין</w:t>
      </w:r>
      <w:proofErr w:type="spellEnd"/>
      <w:r>
        <w:rPr>
          <w:rFonts w:ascii="David" w:hAnsi="David" w:cs="David"/>
          <w:rtl/>
        </w:rPr>
        <w:t xml:space="preserve"> </w:t>
      </w:r>
      <w:r>
        <w:rPr>
          <w:rFonts w:ascii="David" w:hAnsi="David" w:cs="David"/>
          <w:sz w:val="20"/>
          <w:szCs w:val="20"/>
          <w:rtl/>
        </w:rPr>
        <w:t>(הי"ד ט"ו)</w:t>
      </w:r>
      <w:r>
        <w:rPr>
          <w:rFonts w:ascii="David" w:hAnsi="David" w:cs="David"/>
          <w:rtl/>
        </w:rPr>
        <w:t xml:space="preserve"> </w:t>
      </w:r>
      <w:proofErr w:type="spellStart"/>
      <w:r>
        <w:rPr>
          <w:rFonts w:ascii="David" w:hAnsi="David" w:cs="David"/>
          <w:b/>
          <w:bCs/>
          <w:rtl/>
        </w:rPr>
        <w:t>דהקדש</w:t>
      </w:r>
      <w:proofErr w:type="spellEnd"/>
      <w:r>
        <w:rPr>
          <w:rFonts w:ascii="David" w:hAnsi="David" w:cs="David"/>
          <w:b/>
          <w:bCs/>
          <w:rtl/>
        </w:rPr>
        <w:t xml:space="preserve"> דמים נמי מפקיע מידי שעבוד</w:t>
      </w:r>
      <w:r>
        <w:rPr>
          <w:rStyle w:val="a6"/>
          <w:rFonts w:ascii="David" w:hAnsi="David" w:cs="David"/>
          <w:b/>
          <w:bCs/>
          <w:sz w:val="24"/>
          <w:szCs w:val="24"/>
          <w:rtl/>
        </w:rPr>
        <w:footnoteReference w:id="24"/>
      </w:r>
      <w:r>
        <w:rPr>
          <w:rFonts w:ascii="David" w:hAnsi="David" w:cs="David"/>
          <w:rtl/>
        </w:rPr>
        <w:t xml:space="preserve"> אלא </w:t>
      </w:r>
      <w:proofErr w:type="spellStart"/>
      <w:r>
        <w:rPr>
          <w:rFonts w:ascii="David" w:hAnsi="David" w:cs="David"/>
          <w:rtl/>
        </w:rPr>
        <w:t>דבע"ח</w:t>
      </w:r>
      <w:proofErr w:type="spellEnd"/>
      <w:r>
        <w:rPr>
          <w:rFonts w:ascii="David" w:hAnsi="David" w:cs="David"/>
          <w:rtl/>
        </w:rPr>
        <w:t xml:space="preserve"> גובה מן הפודה... וא"כ הכא דנתן ד' </w:t>
      </w:r>
      <w:proofErr w:type="spellStart"/>
      <w:r>
        <w:rPr>
          <w:rFonts w:ascii="David" w:hAnsi="David" w:cs="David"/>
          <w:rtl/>
        </w:rPr>
        <w:t>לשניה</w:t>
      </w:r>
      <w:proofErr w:type="spellEnd"/>
      <w:r>
        <w:rPr>
          <w:rFonts w:ascii="David" w:hAnsi="David" w:cs="David"/>
          <w:rtl/>
        </w:rPr>
        <w:t xml:space="preserve"> יצא ידי שניה אף על גב </w:t>
      </w:r>
      <w:proofErr w:type="spellStart"/>
      <w:r>
        <w:rPr>
          <w:rFonts w:ascii="David" w:hAnsi="David" w:cs="David"/>
          <w:rtl/>
        </w:rPr>
        <w:t>דחייב</w:t>
      </w:r>
      <w:proofErr w:type="spellEnd"/>
      <w:r>
        <w:rPr>
          <w:rFonts w:ascii="David" w:hAnsi="David" w:cs="David"/>
          <w:rtl/>
        </w:rPr>
        <w:t xml:space="preserve"> לראשונה כיון </w:t>
      </w:r>
      <w:proofErr w:type="spellStart"/>
      <w:r>
        <w:rPr>
          <w:rFonts w:ascii="David" w:hAnsi="David" w:cs="David"/>
          <w:rtl/>
        </w:rPr>
        <w:t>דהקדש</w:t>
      </w:r>
      <w:proofErr w:type="spellEnd"/>
      <w:r>
        <w:rPr>
          <w:rFonts w:ascii="David" w:hAnsi="David" w:cs="David"/>
          <w:rtl/>
        </w:rPr>
        <w:t xml:space="preserve"> מפקיע מידי שעבוד, ומשום הכי אפילו מן הפודה לא מצי הגזבר ליטול בעד ערך הראשון כיון </w:t>
      </w:r>
      <w:proofErr w:type="spellStart"/>
      <w:r>
        <w:rPr>
          <w:rFonts w:ascii="David" w:hAnsi="David" w:cs="David"/>
          <w:rtl/>
        </w:rPr>
        <w:t>דבשעה</w:t>
      </w:r>
      <w:proofErr w:type="spellEnd"/>
      <w:r>
        <w:rPr>
          <w:rFonts w:ascii="David" w:hAnsi="David" w:cs="David"/>
          <w:rtl/>
        </w:rPr>
        <w:t xml:space="preserve"> שנתן ד' </w:t>
      </w:r>
      <w:proofErr w:type="spellStart"/>
      <w:r>
        <w:rPr>
          <w:rFonts w:ascii="David" w:hAnsi="David" w:cs="David"/>
          <w:rtl/>
        </w:rPr>
        <w:t>לשניה</w:t>
      </w:r>
      <w:proofErr w:type="spellEnd"/>
      <w:r>
        <w:rPr>
          <w:rFonts w:ascii="David" w:hAnsi="David" w:cs="David"/>
          <w:rtl/>
        </w:rPr>
        <w:t xml:space="preserve"> ואחד לראשונה עדיין לא נפדה השדה וא"כ נתן לראשונה כפי אשר תשיג ידו, </w:t>
      </w:r>
      <w:proofErr w:type="spellStart"/>
      <w:r>
        <w:rPr>
          <w:rFonts w:ascii="David" w:hAnsi="David" w:cs="David"/>
          <w:rtl/>
        </w:rPr>
        <w:t>דהא</w:t>
      </w:r>
      <w:proofErr w:type="spellEnd"/>
      <w:r>
        <w:rPr>
          <w:rFonts w:ascii="David" w:hAnsi="David" w:cs="David"/>
          <w:rtl/>
        </w:rPr>
        <w:t xml:space="preserve"> מהקדש לא גבי </w:t>
      </w:r>
      <w:proofErr w:type="spellStart"/>
      <w:r>
        <w:rPr>
          <w:rFonts w:ascii="David" w:hAnsi="David" w:cs="David"/>
          <w:rtl/>
        </w:rPr>
        <w:t>דהקדש</w:t>
      </w:r>
      <w:proofErr w:type="spellEnd"/>
      <w:r>
        <w:rPr>
          <w:rFonts w:ascii="David" w:hAnsi="David" w:cs="David"/>
          <w:rtl/>
        </w:rPr>
        <w:t xml:space="preserve"> מפקיע מידי שעבוד ותו אינו צריך ליתן אפילו העשיר כיון </w:t>
      </w:r>
      <w:proofErr w:type="spellStart"/>
      <w:r>
        <w:rPr>
          <w:rFonts w:ascii="David" w:hAnsi="David" w:cs="David"/>
          <w:rtl/>
        </w:rPr>
        <w:t>דכבר</w:t>
      </w:r>
      <w:proofErr w:type="spellEnd"/>
      <w:r>
        <w:rPr>
          <w:rFonts w:ascii="David" w:hAnsi="David" w:cs="David"/>
          <w:rtl/>
        </w:rPr>
        <w:t xml:space="preserve"> נתן כאשר תשיג ידו... וזה שכתב הרמב"ם </w:t>
      </w:r>
      <w:proofErr w:type="spellStart"/>
      <w:r>
        <w:rPr>
          <w:rFonts w:ascii="David" w:hAnsi="David" w:cs="David"/>
          <w:b/>
          <w:bCs/>
          <w:rtl/>
        </w:rPr>
        <w:t>שהערכין</w:t>
      </w:r>
      <w:proofErr w:type="spellEnd"/>
      <w:r>
        <w:rPr>
          <w:rFonts w:ascii="David" w:hAnsi="David" w:cs="David"/>
          <w:b/>
          <w:bCs/>
          <w:rtl/>
        </w:rPr>
        <w:t xml:space="preserve"> אינו כחובות</w:t>
      </w:r>
      <w:r>
        <w:rPr>
          <w:rFonts w:ascii="David" w:hAnsi="David" w:cs="David"/>
          <w:rtl/>
        </w:rPr>
        <w:t xml:space="preserve"> והקדש מאוחר שקדם וגבה זה שגבה גבה, כיון </w:t>
      </w:r>
      <w:proofErr w:type="spellStart"/>
      <w:r>
        <w:rPr>
          <w:rFonts w:ascii="David" w:hAnsi="David" w:cs="David"/>
          <w:rtl/>
        </w:rPr>
        <w:t>דהקדש</w:t>
      </w:r>
      <w:proofErr w:type="spellEnd"/>
      <w:r>
        <w:rPr>
          <w:rFonts w:ascii="David" w:hAnsi="David" w:cs="David"/>
          <w:rtl/>
        </w:rPr>
        <w:t xml:space="preserve"> מפקיע מידי שעבוד, אלא </w:t>
      </w:r>
      <w:proofErr w:type="spellStart"/>
      <w:r>
        <w:rPr>
          <w:rFonts w:ascii="David" w:hAnsi="David" w:cs="David"/>
          <w:rtl/>
        </w:rPr>
        <w:t>דבשאר</w:t>
      </w:r>
      <w:proofErr w:type="spellEnd"/>
      <w:r>
        <w:rPr>
          <w:rFonts w:ascii="David" w:hAnsi="David" w:cs="David"/>
          <w:rtl/>
        </w:rPr>
        <w:t xml:space="preserve"> חובות גובה מן הפודה </w:t>
      </w:r>
      <w:proofErr w:type="spellStart"/>
      <w:r>
        <w:rPr>
          <w:rFonts w:ascii="David" w:hAnsi="David" w:cs="David"/>
          <w:rtl/>
        </w:rPr>
        <w:t>והערכין</w:t>
      </w:r>
      <w:proofErr w:type="spellEnd"/>
      <w:r>
        <w:rPr>
          <w:rFonts w:ascii="David" w:hAnsi="David" w:cs="David"/>
          <w:rtl/>
        </w:rPr>
        <w:t xml:space="preserve"> אינו כחובות </w:t>
      </w:r>
      <w:proofErr w:type="spellStart"/>
      <w:r>
        <w:rPr>
          <w:rFonts w:ascii="David" w:hAnsi="David" w:cs="David"/>
          <w:rtl/>
        </w:rPr>
        <w:t>דכיון</w:t>
      </w:r>
      <w:proofErr w:type="spellEnd"/>
      <w:r>
        <w:rPr>
          <w:rFonts w:ascii="David" w:hAnsi="David" w:cs="David"/>
          <w:rtl/>
        </w:rPr>
        <w:t xml:space="preserve"> </w:t>
      </w:r>
      <w:proofErr w:type="spellStart"/>
      <w:r>
        <w:rPr>
          <w:rFonts w:ascii="David" w:hAnsi="David" w:cs="David"/>
          <w:rtl/>
        </w:rPr>
        <w:t>דכבר</w:t>
      </w:r>
      <w:proofErr w:type="spellEnd"/>
      <w:r>
        <w:rPr>
          <w:rFonts w:ascii="David" w:hAnsi="David" w:cs="David"/>
          <w:rtl/>
        </w:rPr>
        <w:t xml:space="preserve"> יצא אפילו יש לו אח"כ א"צ ליתן ולפי </w:t>
      </w:r>
      <w:proofErr w:type="spellStart"/>
      <w:r>
        <w:rPr>
          <w:rFonts w:ascii="David" w:hAnsi="David" w:cs="David"/>
          <w:rtl/>
        </w:rPr>
        <w:t>מ"ש</w:t>
      </w:r>
      <w:proofErr w:type="spellEnd"/>
      <w:r>
        <w:rPr>
          <w:rFonts w:ascii="David" w:hAnsi="David" w:cs="David"/>
          <w:rtl/>
        </w:rPr>
        <w:t xml:space="preserve"> בדברי הרמב"ם אין הטעם משום </w:t>
      </w:r>
      <w:proofErr w:type="spellStart"/>
      <w:r>
        <w:rPr>
          <w:rFonts w:ascii="David" w:hAnsi="David" w:cs="David"/>
          <w:rtl/>
        </w:rPr>
        <w:t>דהכל</w:t>
      </w:r>
      <w:proofErr w:type="spellEnd"/>
      <w:r>
        <w:rPr>
          <w:rFonts w:ascii="David" w:hAnsi="David" w:cs="David"/>
          <w:rtl/>
        </w:rPr>
        <w:t xml:space="preserve"> להקדש...</w:t>
      </w:r>
      <w:r>
        <w:rPr>
          <w:rStyle w:val="a6"/>
          <w:rFonts w:ascii="David" w:hAnsi="David" w:cs="David"/>
          <w:sz w:val="24"/>
          <w:szCs w:val="24"/>
          <w:rtl/>
        </w:rPr>
        <w:footnoteReference w:id="25"/>
      </w:r>
      <w:r>
        <w:rPr>
          <w:rFonts w:ascii="David" w:hAnsi="David" w:cs="David"/>
          <w:rtl/>
        </w:rPr>
        <w:t>.</w:t>
      </w:r>
      <w:r>
        <w:rPr>
          <w:rtl/>
        </w:rPr>
        <w:t xml:space="preserve"> </w:t>
      </w:r>
    </w:p>
    <w:p w14:paraId="0DB9D2EE" w14:textId="77777777" w:rsidR="004A5E4F" w:rsidRDefault="004A5E4F" w:rsidP="004A5E4F">
      <w:pPr>
        <w:rPr>
          <w:rFonts w:asciiTheme="majorBidi" w:hAnsiTheme="majorBidi" w:cstheme="majorBidi"/>
          <w:sz w:val="24"/>
          <w:szCs w:val="24"/>
          <w:rtl/>
        </w:rPr>
      </w:pPr>
      <w:r>
        <w:rPr>
          <w:rFonts w:asciiTheme="majorBidi" w:hAnsiTheme="majorBidi" w:cstheme="majorBidi"/>
          <w:sz w:val="24"/>
          <w:szCs w:val="24"/>
          <w:rtl/>
        </w:rPr>
        <w:t>ואף חידש דין</w:t>
      </w:r>
      <w:r>
        <w:rPr>
          <w:rStyle w:val="a6"/>
          <w:rFonts w:asciiTheme="majorBidi" w:hAnsiTheme="majorBidi" w:cstheme="majorBidi"/>
          <w:sz w:val="24"/>
          <w:szCs w:val="24"/>
          <w:rtl/>
        </w:rPr>
        <w:footnoteReference w:id="26"/>
      </w:r>
      <w:r>
        <w:rPr>
          <w:rFonts w:asciiTheme="majorBidi" w:hAnsiTheme="majorBidi" w:cstheme="majorBidi"/>
          <w:sz w:val="24"/>
          <w:szCs w:val="24"/>
          <w:rtl/>
        </w:rPr>
        <w:t>:</w:t>
      </w:r>
    </w:p>
    <w:p w14:paraId="2CDDBA38" w14:textId="77777777" w:rsidR="004A5E4F" w:rsidRDefault="004A5E4F" w:rsidP="004A5E4F">
      <w:pPr>
        <w:ind w:left="720"/>
        <w:rPr>
          <w:rFonts w:asciiTheme="majorBidi" w:hAnsiTheme="majorBidi" w:cstheme="majorBidi"/>
          <w:sz w:val="24"/>
          <w:szCs w:val="24"/>
          <w:rtl/>
        </w:rPr>
      </w:pPr>
      <w:r>
        <w:rPr>
          <w:rFonts w:ascii="David" w:hAnsi="David" w:cs="David"/>
          <w:sz w:val="24"/>
          <w:szCs w:val="24"/>
          <w:rtl/>
        </w:rPr>
        <w:t xml:space="preserve">שאם אחד היה חייב לאחד שני חובות ובא זמן </w:t>
      </w:r>
      <w:proofErr w:type="spellStart"/>
      <w:r>
        <w:rPr>
          <w:rFonts w:ascii="David" w:hAnsi="David" w:cs="David"/>
          <w:sz w:val="24"/>
          <w:szCs w:val="24"/>
          <w:rtl/>
        </w:rPr>
        <w:t>הפרעון</w:t>
      </w:r>
      <w:proofErr w:type="spellEnd"/>
      <w:r>
        <w:rPr>
          <w:rFonts w:ascii="David" w:hAnsi="David" w:cs="David"/>
          <w:sz w:val="24"/>
          <w:szCs w:val="24"/>
          <w:rtl/>
        </w:rPr>
        <w:t xml:space="preserve"> של חוב שני קודם הראשון, והגבה אותו אחר כך נכסיו עבור חוב השני, ואחר כך כשבא זמן </w:t>
      </w:r>
      <w:proofErr w:type="spellStart"/>
      <w:r>
        <w:rPr>
          <w:rFonts w:ascii="David" w:hAnsi="David" w:cs="David"/>
          <w:sz w:val="24"/>
          <w:szCs w:val="24"/>
          <w:rtl/>
        </w:rPr>
        <w:t>פרעון</w:t>
      </w:r>
      <w:proofErr w:type="spellEnd"/>
      <w:r>
        <w:rPr>
          <w:rFonts w:ascii="David" w:hAnsi="David" w:cs="David"/>
          <w:sz w:val="24"/>
          <w:szCs w:val="24"/>
          <w:rtl/>
        </w:rPr>
        <w:t xml:space="preserve"> הראשון אינו יכול לגבות זה שגבה מעיקרא עבור חוב השני – עתה עבור חוב הראשון</w:t>
      </w:r>
      <w:r>
        <w:rPr>
          <w:rStyle w:val="a6"/>
          <w:rFonts w:ascii="David" w:hAnsi="David" w:cs="David"/>
          <w:sz w:val="24"/>
          <w:szCs w:val="24"/>
          <w:rtl/>
        </w:rPr>
        <w:footnoteReference w:id="27"/>
      </w:r>
      <w:r>
        <w:rPr>
          <w:rFonts w:ascii="David" w:hAnsi="David" w:cs="David"/>
          <w:sz w:val="24"/>
          <w:szCs w:val="24"/>
          <w:rtl/>
        </w:rPr>
        <w:t xml:space="preserve">, </w:t>
      </w:r>
      <w:r>
        <w:rPr>
          <w:rFonts w:ascii="David" w:hAnsi="David" w:cs="David"/>
          <w:b/>
          <w:bCs/>
          <w:sz w:val="24"/>
          <w:szCs w:val="24"/>
          <w:rtl/>
        </w:rPr>
        <w:t>הואיל והכל לאחד</w:t>
      </w:r>
      <w:r>
        <w:rPr>
          <w:rFonts w:ascii="David" w:hAnsi="David" w:cs="David"/>
          <w:sz w:val="24"/>
          <w:szCs w:val="24"/>
          <w:rtl/>
        </w:rPr>
        <w:t xml:space="preserve"> – התם </w:t>
      </w:r>
      <w:proofErr w:type="spellStart"/>
      <w:r>
        <w:rPr>
          <w:rFonts w:ascii="David" w:hAnsi="David" w:cs="David"/>
          <w:sz w:val="24"/>
          <w:szCs w:val="24"/>
          <w:rtl/>
        </w:rPr>
        <w:t>אמרינן</w:t>
      </w:r>
      <w:proofErr w:type="spellEnd"/>
      <w:r>
        <w:rPr>
          <w:rFonts w:ascii="David" w:hAnsi="David" w:cs="David"/>
          <w:sz w:val="24"/>
          <w:szCs w:val="24"/>
          <w:rtl/>
        </w:rPr>
        <w:t xml:space="preserve"> מה שגבה גבה</w:t>
      </w:r>
      <w:r>
        <w:rPr>
          <w:rStyle w:val="a6"/>
          <w:rFonts w:ascii="David" w:hAnsi="David" w:cs="David"/>
          <w:sz w:val="24"/>
          <w:szCs w:val="24"/>
          <w:rtl/>
        </w:rPr>
        <w:footnoteReference w:id="28"/>
      </w:r>
      <w:r>
        <w:rPr>
          <w:rFonts w:ascii="David" w:hAnsi="David" w:cs="David"/>
          <w:sz w:val="24"/>
          <w:szCs w:val="24"/>
          <w:rtl/>
        </w:rPr>
        <w:t xml:space="preserve">. </w:t>
      </w:r>
    </w:p>
    <w:p w14:paraId="513DD44E" w14:textId="77777777" w:rsidR="004A5E4F" w:rsidRDefault="004A5E4F" w:rsidP="004A5E4F">
      <w:pPr>
        <w:rPr>
          <w:rFonts w:asciiTheme="majorBidi" w:hAnsiTheme="majorBidi" w:cstheme="majorBidi"/>
          <w:sz w:val="24"/>
          <w:szCs w:val="24"/>
          <w:rtl/>
        </w:rPr>
      </w:pPr>
      <w:r>
        <w:rPr>
          <w:rFonts w:asciiTheme="majorBidi" w:hAnsiTheme="majorBidi" w:cstheme="majorBidi"/>
          <w:sz w:val="24"/>
          <w:szCs w:val="24"/>
          <w:rtl/>
        </w:rPr>
        <w:t>אולם אם טעם הדין הוא מחילה כפי שהציעו התוספות, המלווה יוכל לגבות. שזה שגבה עבור החוב השני, אין זה משום שמחל את הראשון, אלא מפני שפשוט לא היה יכול לגבות את הראשון, שטרם בא זמנו</w:t>
      </w:r>
      <w:r>
        <w:rPr>
          <w:rStyle w:val="a6"/>
          <w:rFonts w:asciiTheme="majorBidi" w:hAnsiTheme="majorBidi" w:cstheme="majorBidi"/>
          <w:sz w:val="24"/>
          <w:szCs w:val="24"/>
          <w:rtl/>
        </w:rPr>
        <w:footnoteReference w:id="29"/>
      </w:r>
      <w:r>
        <w:rPr>
          <w:rFonts w:asciiTheme="majorBidi" w:hAnsiTheme="majorBidi" w:cstheme="majorBidi"/>
          <w:sz w:val="24"/>
          <w:szCs w:val="24"/>
          <w:rtl/>
        </w:rPr>
        <w:t xml:space="preserve">.  נראה שבמסקנת הדברים, בעל הקצות חוזר בו מן הדין שחידש: </w:t>
      </w:r>
    </w:p>
    <w:p w14:paraId="4C0685A2" w14:textId="77777777" w:rsidR="004A5E4F" w:rsidRDefault="004A5E4F" w:rsidP="004A5E4F">
      <w:pPr>
        <w:ind w:left="720"/>
        <w:rPr>
          <w:rFonts w:asciiTheme="majorBidi" w:hAnsiTheme="majorBidi" w:cstheme="majorBidi"/>
          <w:sz w:val="24"/>
          <w:szCs w:val="24"/>
          <w:rtl/>
        </w:rPr>
      </w:pPr>
      <w:r>
        <w:rPr>
          <w:rFonts w:ascii="Arial" w:hAnsi="Arial" w:cs="David"/>
          <w:color w:val="222222"/>
          <w:sz w:val="24"/>
          <w:szCs w:val="24"/>
          <w:rtl/>
        </w:rPr>
        <w:t xml:space="preserve">ולפי </w:t>
      </w:r>
      <w:proofErr w:type="spellStart"/>
      <w:r>
        <w:rPr>
          <w:rFonts w:ascii="Arial" w:hAnsi="Arial" w:cs="David"/>
          <w:color w:val="222222"/>
          <w:sz w:val="24"/>
          <w:szCs w:val="24"/>
          <w:rtl/>
        </w:rPr>
        <w:t>מ"ש</w:t>
      </w:r>
      <w:proofErr w:type="spellEnd"/>
      <w:r>
        <w:rPr>
          <w:rFonts w:ascii="Arial" w:hAnsi="Arial" w:cs="David"/>
          <w:color w:val="222222"/>
          <w:sz w:val="24"/>
          <w:szCs w:val="24"/>
          <w:rtl/>
        </w:rPr>
        <w:t xml:space="preserve"> בדברי הרמב"ם </w:t>
      </w:r>
      <w:r>
        <w:rPr>
          <w:rFonts w:ascii="Arial" w:hAnsi="Arial" w:cs="David"/>
          <w:b/>
          <w:bCs/>
          <w:color w:val="222222"/>
          <w:sz w:val="24"/>
          <w:szCs w:val="24"/>
          <w:rtl/>
        </w:rPr>
        <w:t>אין</w:t>
      </w:r>
      <w:r>
        <w:rPr>
          <w:rFonts w:ascii="Arial" w:hAnsi="Arial" w:cs="David"/>
          <w:color w:val="222222"/>
          <w:sz w:val="24"/>
          <w:szCs w:val="24"/>
          <w:rtl/>
        </w:rPr>
        <w:t xml:space="preserve"> הטעם משום </w:t>
      </w:r>
      <w:proofErr w:type="spellStart"/>
      <w:r>
        <w:rPr>
          <w:rFonts w:ascii="Arial" w:hAnsi="Arial" w:cs="David"/>
          <w:color w:val="222222"/>
          <w:sz w:val="24"/>
          <w:szCs w:val="24"/>
          <w:rtl/>
        </w:rPr>
        <w:t>דהכל</w:t>
      </w:r>
      <w:proofErr w:type="spellEnd"/>
      <w:r>
        <w:rPr>
          <w:rFonts w:ascii="Arial" w:hAnsi="Arial" w:cs="David"/>
          <w:color w:val="222222"/>
          <w:sz w:val="24"/>
          <w:szCs w:val="24"/>
          <w:rtl/>
        </w:rPr>
        <w:t xml:space="preserve"> להקדש וגם מדברי תירוץ שני שבתוספות ר"פ מי שהיו נשוי </w:t>
      </w:r>
      <w:proofErr w:type="spellStart"/>
      <w:r>
        <w:rPr>
          <w:rFonts w:ascii="Arial" w:hAnsi="Arial" w:cs="David"/>
          <w:color w:val="222222"/>
          <w:sz w:val="24"/>
          <w:szCs w:val="24"/>
          <w:rtl/>
        </w:rPr>
        <w:t>דערכין</w:t>
      </w:r>
      <w:proofErr w:type="spellEnd"/>
      <w:r>
        <w:rPr>
          <w:rFonts w:ascii="Arial" w:hAnsi="Arial" w:cs="David"/>
          <w:color w:val="222222"/>
          <w:sz w:val="24"/>
          <w:szCs w:val="24"/>
          <w:rtl/>
        </w:rPr>
        <w:t xml:space="preserve">, </w:t>
      </w:r>
      <w:proofErr w:type="spellStart"/>
      <w:r>
        <w:rPr>
          <w:rFonts w:ascii="Arial" w:hAnsi="Arial" w:cs="David"/>
          <w:color w:val="222222"/>
          <w:sz w:val="24"/>
          <w:szCs w:val="24"/>
          <w:rtl/>
        </w:rPr>
        <w:t>מיירי</w:t>
      </w:r>
      <w:proofErr w:type="spellEnd"/>
      <w:r>
        <w:rPr>
          <w:rFonts w:ascii="Arial" w:hAnsi="Arial" w:cs="David"/>
          <w:color w:val="222222"/>
          <w:sz w:val="24"/>
          <w:szCs w:val="24"/>
          <w:rtl/>
        </w:rPr>
        <w:t xml:space="preserve"> </w:t>
      </w:r>
      <w:proofErr w:type="spellStart"/>
      <w:r>
        <w:rPr>
          <w:rFonts w:ascii="Arial" w:hAnsi="Arial" w:cs="David"/>
          <w:b/>
          <w:bCs/>
          <w:color w:val="222222"/>
          <w:sz w:val="24"/>
          <w:szCs w:val="24"/>
          <w:rtl/>
        </w:rPr>
        <w:t>במטלטלין</w:t>
      </w:r>
      <w:proofErr w:type="spellEnd"/>
      <w:r>
        <w:rPr>
          <w:rFonts w:ascii="Arial" w:hAnsi="Arial" w:cs="David"/>
          <w:color w:val="222222"/>
          <w:sz w:val="24"/>
          <w:szCs w:val="24"/>
          <w:rtl/>
        </w:rPr>
        <w:t xml:space="preserve"> אי נמי בחוב על פה, א"כ </w:t>
      </w:r>
      <w:r>
        <w:rPr>
          <w:rFonts w:ascii="Arial" w:hAnsi="Arial" w:cs="David"/>
          <w:b/>
          <w:bCs/>
          <w:color w:val="222222"/>
          <w:sz w:val="24"/>
          <w:szCs w:val="24"/>
          <w:rtl/>
        </w:rPr>
        <w:t>אפילו הולך אל מקום אחד נמי מה שגבה לא גבה</w:t>
      </w:r>
      <w:r>
        <w:rPr>
          <w:rFonts w:ascii="Arial" w:hAnsi="Arial" w:cs="David"/>
          <w:color w:val="222222"/>
          <w:sz w:val="24"/>
          <w:szCs w:val="24"/>
          <w:rtl/>
        </w:rPr>
        <w:t xml:space="preserve"> </w:t>
      </w:r>
      <w:proofErr w:type="spellStart"/>
      <w:r>
        <w:rPr>
          <w:rFonts w:ascii="Arial" w:hAnsi="Arial" w:cs="David"/>
          <w:color w:val="222222"/>
          <w:sz w:val="24"/>
          <w:szCs w:val="24"/>
          <w:rtl/>
        </w:rPr>
        <w:t>והכא</w:t>
      </w:r>
      <w:proofErr w:type="spellEnd"/>
      <w:r>
        <w:rPr>
          <w:rFonts w:ascii="Arial" w:hAnsi="Arial" w:cs="David"/>
          <w:color w:val="222222"/>
          <w:sz w:val="24"/>
          <w:szCs w:val="24"/>
          <w:rtl/>
        </w:rPr>
        <w:t xml:space="preserve"> בשני חובות נמי אם יש בהם דין קדימה כגון בשטר ובקרקע מה שגבה </w:t>
      </w:r>
      <w:r>
        <w:rPr>
          <w:rFonts w:ascii="Arial" w:hAnsi="Arial" w:cs="David"/>
          <w:b/>
          <w:bCs/>
          <w:color w:val="222222"/>
          <w:sz w:val="24"/>
          <w:szCs w:val="24"/>
          <w:rtl/>
        </w:rPr>
        <w:t>לא</w:t>
      </w:r>
      <w:r>
        <w:rPr>
          <w:rFonts w:ascii="Arial" w:hAnsi="Arial" w:cs="David"/>
          <w:color w:val="222222"/>
          <w:sz w:val="24"/>
          <w:szCs w:val="24"/>
          <w:rtl/>
        </w:rPr>
        <w:t xml:space="preserve"> גבה וצריך הערב לפרוע </w:t>
      </w:r>
      <w:proofErr w:type="spellStart"/>
      <w:r>
        <w:rPr>
          <w:rFonts w:ascii="Arial" w:hAnsi="Arial" w:cs="David"/>
          <w:color w:val="222222"/>
          <w:sz w:val="24"/>
          <w:szCs w:val="24"/>
          <w:rtl/>
        </w:rPr>
        <w:t>דחוזר</w:t>
      </w:r>
      <w:proofErr w:type="spellEnd"/>
      <w:r>
        <w:rPr>
          <w:rFonts w:ascii="Arial" w:hAnsi="Arial" w:cs="David"/>
          <w:color w:val="222222"/>
          <w:sz w:val="24"/>
          <w:szCs w:val="24"/>
          <w:rtl/>
        </w:rPr>
        <w:t xml:space="preserve"> וגובה.</w:t>
      </w:r>
    </w:p>
    <w:p w14:paraId="314174C4" w14:textId="77777777" w:rsidR="004A5E4F" w:rsidRDefault="004A5E4F" w:rsidP="004A5E4F">
      <w:pPr>
        <w:rPr>
          <w:rFonts w:asciiTheme="majorBidi" w:hAnsiTheme="majorBidi" w:cstheme="majorBidi"/>
          <w:b/>
          <w:bCs/>
          <w:sz w:val="24"/>
          <w:szCs w:val="24"/>
          <w:rtl/>
        </w:rPr>
      </w:pPr>
      <w:r>
        <w:rPr>
          <w:rFonts w:asciiTheme="majorBidi" w:hAnsiTheme="majorBidi" w:cstheme="majorBidi"/>
          <w:b/>
          <w:bCs/>
          <w:sz w:val="24"/>
          <w:szCs w:val="24"/>
          <w:rtl/>
        </w:rPr>
        <w:t>ד. ההערכה והשפעתה</w:t>
      </w:r>
    </w:p>
    <w:p w14:paraId="37293FAC" w14:textId="77777777" w:rsidR="004A5E4F" w:rsidRDefault="004A5E4F" w:rsidP="004A5E4F">
      <w:pPr>
        <w:rPr>
          <w:rFonts w:asciiTheme="majorBidi" w:hAnsiTheme="majorBidi" w:cstheme="majorBidi"/>
          <w:sz w:val="24"/>
          <w:szCs w:val="24"/>
          <w:rtl/>
        </w:rPr>
      </w:pPr>
      <w:r>
        <w:rPr>
          <w:rFonts w:asciiTheme="majorBidi" w:hAnsiTheme="majorBidi" w:cstheme="majorBidi"/>
          <w:sz w:val="24"/>
          <w:szCs w:val="24"/>
          <w:rtl/>
        </w:rPr>
        <w:t>בעלי התוספות תמהים מדוע אין מצבו הכספי של המעריך מחייב אותו לשלם הכול עבור ההערכה השנייה:</w:t>
      </w:r>
    </w:p>
    <w:p w14:paraId="447C735D" w14:textId="77777777" w:rsidR="004A5E4F" w:rsidRDefault="004A5E4F" w:rsidP="004A5E4F">
      <w:pPr>
        <w:ind w:left="720"/>
        <w:rPr>
          <w:rFonts w:ascii="David" w:hAnsi="David" w:cs="David"/>
          <w:sz w:val="24"/>
          <w:szCs w:val="24"/>
          <w:rtl/>
        </w:rPr>
      </w:pPr>
      <w:proofErr w:type="spellStart"/>
      <w:r>
        <w:rPr>
          <w:rFonts w:ascii="David" w:hAnsi="David" w:cs="David"/>
          <w:sz w:val="24"/>
          <w:szCs w:val="24"/>
          <w:rtl/>
        </w:rPr>
        <w:t>תימה</w:t>
      </w:r>
      <w:proofErr w:type="spellEnd"/>
      <w:r>
        <w:rPr>
          <w:rFonts w:ascii="David" w:hAnsi="David" w:cs="David"/>
          <w:sz w:val="24"/>
          <w:szCs w:val="24"/>
          <w:rtl/>
        </w:rPr>
        <w:t xml:space="preserve"> </w:t>
      </w:r>
      <w:proofErr w:type="spellStart"/>
      <w:r>
        <w:rPr>
          <w:rFonts w:ascii="David" w:hAnsi="David" w:cs="David"/>
          <w:sz w:val="24"/>
          <w:szCs w:val="24"/>
          <w:rtl/>
        </w:rPr>
        <w:t>דבעידנא</w:t>
      </w:r>
      <w:proofErr w:type="spellEnd"/>
      <w:r>
        <w:rPr>
          <w:rFonts w:ascii="David" w:hAnsi="David" w:cs="David"/>
          <w:sz w:val="24"/>
          <w:szCs w:val="24"/>
          <w:rtl/>
        </w:rPr>
        <w:t xml:space="preserve"> </w:t>
      </w:r>
      <w:proofErr w:type="spellStart"/>
      <w:r>
        <w:rPr>
          <w:rFonts w:ascii="David" w:hAnsi="David" w:cs="David"/>
          <w:sz w:val="24"/>
          <w:szCs w:val="24"/>
          <w:rtl/>
        </w:rPr>
        <w:t>דנדר</w:t>
      </w:r>
      <w:proofErr w:type="spellEnd"/>
      <w:r>
        <w:rPr>
          <w:rFonts w:ascii="David" w:hAnsi="David" w:cs="David"/>
          <w:sz w:val="24"/>
          <w:szCs w:val="24"/>
          <w:rtl/>
        </w:rPr>
        <w:t xml:space="preserve"> לראשון היה לו ה' סלעים ואיך מפטר כשנתן להם אחת התנן פרק השג יד </w:t>
      </w:r>
      <w:r>
        <w:rPr>
          <w:rFonts w:ascii="David" w:hAnsi="David" w:cs="David"/>
          <w:sz w:val="20"/>
          <w:szCs w:val="20"/>
          <w:rtl/>
        </w:rPr>
        <w:t xml:space="preserve">(לקמן דף </w:t>
      </w:r>
      <w:proofErr w:type="spellStart"/>
      <w:r>
        <w:rPr>
          <w:rFonts w:ascii="David" w:hAnsi="David" w:cs="David"/>
          <w:sz w:val="20"/>
          <w:szCs w:val="20"/>
          <w:rtl/>
        </w:rPr>
        <w:t>יז</w:t>
      </w:r>
      <w:proofErr w:type="spellEnd"/>
      <w:r>
        <w:rPr>
          <w:rFonts w:ascii="David" w:hAnsi="David" w:cs="David"/>
          <w:sz w:val="20"/>
          <w:szCs w:val="20"/>
          <w:rtl/>
        </w:rPr>
        <w:t>:)</w:t>
      </w:r>
      <w:r>
        <w:rPr>
          <w:rFonts w:ascii="David" w:hAnsi="David" w:cs="David"/>
          <w:sz w:val="24"/>
          <w:szCs w:val="24"/>
          <w:rtl/>
        </w:rPr>
        <w:t xml:space="preserve"> היה עשיר - פי' בשעת הנדר - והעני, כשבא לפרוע לכהן... נותן ערך </w:t>
      </w:r>
      <w:r>
        <w:rPr>
          <w:rFonts w:ascii="David" w:hAnsi="David" w:cs="David"/>
          <w:sz w:val="24"/>
          <w:szCs w:val="24"/>
          <w:rtl/>
        </w:rPr>
        <w:lastRenderedPageBreak/>
        <w:t xml:space="preserve">עשיר! ואומר רבינו </w:t>
      </w:r>
      <w:proofErr w:type="spellStart"/>
      <w:r>
        <w:rPr>
          <w:rFonts w:ascii="David" w:hAnsi="David" w:cs="David"/>
          <w:sz w:val="24"/>
          <w:szCs w:val="24"/>
          <w:rtl/>
        </w:rPr>
        <w:t>דהך</w:t>
      </w:r>
      <w:proofErr w:type="spellEnd"/>
      <w:r>
        <w:rPr>
          <w:rFonts w:ascii="David" w:hAnsi="David" w:cs="David"/>
          <w:sz w:val="24"/>
          <w:szCs w:val="24"/>
          <w:rtl/>
        </w:rPr>
        <w:t xml:space="preserve"> דלקמן </w:t>
      </w:r>
      <w:proofErr w:type="spellStart"/>
      <w:r>
        <w:rPr>
          <w:rFonts w:ascii="David" w:hAnsi="David" w:cs="David"/>
          <w:sz w:val="24"/>
          <w:szCs w:val="24"/>
          <w:rtl/>
        </w:rPr>
        <w:t>דוקא</w:t>
      </w:r>
      <w:proofErr w:type="spellEnd"/>
      <w:r>
        <w:rPr>
          <w:rFonts w:ascii="David" w:hAnsi="David" w:cs="David"/>
          <w:sz w:val="24"/>
          <w:szCs w:val="24"/>
          <w:rtl/>
        </w:rPr>
        <w:t xml:space="preserve"> שהעריכו הכהן בעודו עשיר ולכך כשהעני שוב נותן ערך עשיר. אבל אם נדר כשהוא עשיר ולא הוערך והעני- נותן ערך עני. </w:t>
      </w:r>
      <w:proofErr w:type="spellStart"/>
      <w:r>
        <w:rPr>
          <w:rFonts w:ascii="David" w:hAnsi="David" w:cs="David"/>
          <w:sz w:val="24"/>
          <w:szCs w:val="24"/>
          <w:rtl/>
        </w:rPr>
        <w:t>ובשמעתין</w:t>
      </w:r>
      <w:proofErr w:type="spellEnd"/>
      <w:r>
        <w:rPr>
          <w:rFonts w:ascii="David" w:hAnsi="David" w:cs="David"/>
          <w:sz w:val="24"/>
          <w:szCs w:val="24"/>
          <w:rtl/>
        </w:rPr>
        <w:t xml:space="preserve"> הכי הוא נתן ד' </w:t>
      </w:r>
      <w:proofErr w:type="spellStart"/>
      <w:r>
        <w:rPr>
          <w:rFonts w:ascii="David" w:hAnsi="David" w:cs="David"/>
          <w:sz w:val="24"/>
          <w:szCs w:val="24"/>
          <w:rtl/>
        </w:rPr>
        <w:t>לשניה</w:t>
      </w:r>
      <w:proofErr w:type="spellEnd"/>
      <w:r>
        <w:rPr>
          <w:rFonts w:ascii="David" w:hAnsi="David" w:cs="David"/>
          <w:sz w:val="24"/>
          <w:szCs w:val="24"/>
          <w:rtl/>
        </w:rPr>
        <w:t xml:space="preserve"> </w:t>
      </w:r>
      <w:r>
        <w:rPr>
          <w:rFonts w:ascii="David" w:hAnsi="David" w:cs="David"/>
          <w:b/>
          <w:bCs/>
          <w:sz w:val="24"/>
          <w:szCs w:val="24"/>
          <w:rtl/>
        </w:rPr>
        <w:t xml:space="preserve">שהכהן העריכו תחילה על </w:t>
      </w:r>
      <w:proofErr w:type="spellStart"/>
      <w:r>
        <w:rPr>
          <w:rFonts w:ascii="David" w:hAnsi="David" w:cs="David"/>
          <w:b/>
          <w:bCs/>
          <w:sz w:val="24"/>
          <w:szCs w:val="24"/>
          <w:rtl/>
        </w:rPr>
        <w:t>השניה</w:t>
      </w:r>
      <w:proofErr w:type="spellEnd"/>
      <w:r>
        <w:rPr>
          <w:rFonts w:ascii="David" w:hAnsi="David" w:cs="David"/>
          <w:sz w:val="24"/>
          <w:szCs w:val="24"/>
          <w:rtl/>
        </w:rPr>
        <w:t xml:space="preserve"> וחזר והעריכו על הראשון ונתן על פיו אחד על הראשון ולכך נפטר ממנה דלא הוערך עליה בעוד שהיו בידו החמש סלעים</w:t>
      </w:r>
      <w:r>
        <w:rPr>
          <w:rStyle w:val="a6"/>
          <w:rFonts w:ascii="David" w:hAnsi="David" w:cs="David"/>
          <w:sz w:val="24"/>
          <w:szCs w:val="24"/>
          <w:rtl/>
        </w:rPr>
        <w:footnoteReference w:id="30"/>
      </w:r>
      <w:r>
        <w:rPr>
          <w:rFonts w:ascii="David" w:hAnsi="David" w:cs="David"/>
          <w:sz w:val="24"/>
          <w:szCs w:val="24"/>
          <w:rtl/>
        </w:rPr>
        <w:t>.</w:t>
      </w:r>
    </w:p>
    <w:p w14:paraId="7562945E" w14:textId="77777777" w:rsidR="004A5E4F" w:rsidRDefault="004A5E4F" w:rsidP="004A5E4F">
      <w:pPr>
        <w:rPr>
          <w:rFonts w:asciiTheme="majorBidi" w:hAnsiTheme="majorBidi" w:cstheme="majorBidi"/>
          <w:sz w:val="24"/>
          <w:szCs w:val="24"/>
          <w:rtl/>
        </w:rPr>
      </w:pPr>
      <w:r>
        <w:rPr>
          <w:rFonts w:asciiTheme="majorBidi" w:hAnsiTheme="majorBidi" w:cstheme="majorBidi"/>
          <w:sz w:val="24"/>
          <w:szCs w:val="24"/>
          <w:rtl/>
        </w:rPr>
        <w:t>לפי דברי תוספות אלו, כיוון שטרם בוצעה הערכת הכהן על החוב הראשון, קשה לומר שהקדש 'מחל' על החוב הראשון, שהרי כלל לא ניתן לגבות חוב זה כל זמן שלא נעשתה הערכה גם לגביו</w:t>
      </w:r>
      <w:r>
        <w:rPr>
          <w:rStyle w:val="a6"/>
          <w:rFonts w:asciiTheme="majorBidi" w:hAnsiTheme="majorBidi" w:cstheme="majorBidi"/>
          <w:sz w:val="24"/>
          <w:szCs w:val="24"/>
          <w:rtl/>
        </w:rPr>
        <w:footnoteReference w:id="31"/>
      </w:r>
      <w:r>
        <w:rPr>
          <w:rFonts w:asciiTheme="majorBidi" w:hAnsiTheme="majorBidi" w:cstheme="majorBidi"/>
          <w:sz w:val="24"/>
          <w:szCs w:val="24"/>
          <w:rtl/>
        </w:rPr>
        <w:t>. אמנם, אם לא נעשתה הערכה לחוב הראשון ההסבר לתקפות הגבייה פשוט: החוב שיוצר הנדר הראשון עדיין לא חל</w:t>
      </w:r>
      <w:r>
        <w:rPr>
          <w:rStyle w:val="a6"/>
          <w:rFonts w:asciiTheme="majorBidi" w:hAnsiTheme="majorBidi" w:cstheme="majorBidi"/>
          <w:sz w:val="24"/>
          <w:szCs w:val="24"/>
          <w:rtl/>
        </w:rPr>
        <w:footnoteReference w:id="32"/>
      </w:r>
      <w:r>
        <w:rPr>
          <w:rFonts w:asciiTheme="majorBidi" w:hAnsiTheme="majorBidi" w:cstheme="majorBidi"/>
          <w:sz w:val="24"/>
          <w:szCs w:val="24"/>
          <w:rtl/>
        </w:rPr>
        <w:t xml:space="preserve"> ואם כן אין כל בעיה בכך שפרע את השני קודם</w:t>
      </w:r>
      <w:r>
        <w:rPr>
          <w:rStyle w:val="a6"/>
          <w:rFonts w:asciiTheme="majorBidi" w:hAnsiTheme="majorBidi" w:cstheme="majorBidi"/>
          <w:sz w:val="24"/>
          <w:szCs w:val="24"/>
          <w:rtl/>
        </w:rPr>
        <w:footnoteReference w:id="33"/>
      </w:r>
      <w:r>
        <w:rPr>
          <w:rFonts w:asciiTheme="majorBidi" w:hAnsiTheme="majorBidi" w:cstheme="majorBidi"/>
          <w:sz w:val="24"/>
          <w:szCs w:val="24"/>
          <w:rtl/>
        </w:rPr>
        <w:t xml:space="preserve">. עולה מכך, שבעלי התוספות בכתובות, שהקשו מסוגייתנו על </w:t>
      </w:r>
      <w:proofErr w:type="spellStart"/>
      <w:r>
        <w:rPr>
          <w:rFonts w:asciiTheme="majorBidi" w:hAnsiTheme="majorBidi" w:cstheme="majorBidi"/>
          <w:sz w:val="24"/>
          <w:szCs w:val="24"/>
          <w:rtl/>
        </w:rPr>
        <w:t>הסוגיה</w:t>
      </w:r>
      <w:proofErr w:type="spellEnd"/>
      <w:r>
        <w:rPr>
          <w:rFonts w:asciiTheme="majorBidi" w:hAnsiTheme="majorBidi" w:cstheme="majorBidi"/>
          <w:sz w:val="24"/>
          <w:szCs w:val="24"/>
          <w:rtl/>
        </w:rPr>
        <w:t xml:space="preserve"> בכתובות, נקטו שמדובר במקרה שכבר נעשתה הערכה בידי הכהן עבור הנדר הראשון</w:t>
      </w:r>
      <w:r>
        <w:rPr>
          <w:rStyle w:val="a6"/>
          <w:rFonts w:asciiTheme="majorBidi" w:hAnsiTheme="majorBidi" w:cstheme="majorBidi"/>
          <w:sz w:val="24"/>
          <w:szCs w:val="24"/>
          <w:rtl/>
        </w:rPr>
        <w:footnoteReference w:id="34"/>
      </w:r>
      <w:r>
        <w:rPr>
          <w:rFonts w:asciiTheme="majorBidi" w:hAnsiTheme="majorBidi" w:cstheme="majorBidi"/>
          <w:sz w:val="24"/>
          <w:szCs w:val="24"/>
          <w:rtl/>
        </w:rPr>
        <w:t>. לעיל</w:t>
      </w:r>
      <w:r>
        <w:rPr>
          <w:rStyle w:val="a6"/>
          <w:rFonts w:asciiTheme="majorBidi" w:hAnsiTheme="majorBidi" w:cstheme="majorBidi"/>
          <w:sz w:val="24"/>
          <w:szCs w:val="24"/>
          <w:rtl/>
        </w:rPr>
        <w:footnoteReference w:id="35"/>
      </w:r>
      <w:r>
        <w:rPr>
          <w:rFonts w:asciiTheme="majorBidi" w:hAnsiTheme="majorBidi" w:cstheme="majorBidi"/>
          <w:sz w:val="24"/>
          <w:szCs w:val="24"/>
          <w:rtl/>
        </w:rPr>
        <w:t xml:space="preserve"> שאלנו מדוע לא נניח שהקדש אומרים במפורש שהגבייה היא עבור החוב הראשון, כדרך שהיה עושה הדיוט. הרב בינה מציע שהשוני נעוץ בהבדל ביחס בין גבייה חלקית בשני המצבים. בדיני ממונות הגבייה יכולה להתנהל בשלבים. </w:t>
      </w:r>
      <w:proofErr w:type="spellStart"/>
      <w:r>
        <w:rPr>
          <w:rFonts w:asciiTheme="majorBidi" w:hAnsiTheme="majorBidi" w:cstheme="majorBidi"/>
          <w:sz w:val="24"/>
          <w:szCs w:val="24"/>
          <w:rtl/>
        </w:rPr>
        <w:t>בערכין</w:t>
      </w:r>
      <w:proofErr w:type="spellEnd"/>
      <w:r>
        <w:rPr>
          <w:rFonts w:asciiTheme="majorBidi" w:hAnsiTheme="majorBidi" w:cstheme="majorBidi"/>
          <w:sz w:val="24"/>
          <w:szCs w:val="24"/>
          <w:rtl/>
        </w:rPr>
        <w:t xml:space="preserve"> לא כן. לפיכך אין טעם לנסות 'לטרוף' את התשלום עבור הנדר הראשון:</w:t>
      </w:r>
    </w:p>
    <w:p w14:paraId="61E2D554" w14:textId="77777777" w:rsidR="004A5E4F" w:rsidRDefault="004A5E4F" w:rsidP="004A5E4F">
      <w:pPr>
        <w:ind w:left="720"/>
        <w:rPr>
          <w:rFonts w:ascii="David" w:hAnsi="David" w:cs="David"/>
          <w:sz w:val="24"/>
          <w:szCs w:val="24"/>
          <w:rtl/>
        </w:rPr>
      </w:pPr>
      <w:r>
        <w:rPr>
          <w:rFonts w:ascii="David" w:hAnsi="David" w:cs="David"/>
          <w:sz w:val="24"/>
          <w:szCs w:val="24"/>
          <w:rtl/>
        </w:rPr>
        <w:t>ונראה כיוון שהדין דאם יש לו חמישה ונותן ארבעה</w:t>
      </w:r>
      <w:r>
        <w:rPr>
          <w:rFonts w:ascii="David" w:hAnsi="David" w:cs="David"/>
          <w:b/>
          <w:bCs/>
          <w:sz w:val="24"/>
          <w:szCs w:val="24"/>
          <w:rtl/>
        </w:rPr>
        <w:t xml:space="preserve"> לא</w:t>
      </w:r>
      <w:r>
        <w:rPr>
          <w:rFonts w:ascii="David" w:hAnsi="David" w:cs="David"/>
          <w:sz w:val="24"/>
          <w:szCs w:val="24"/>
          <w:rtl/>
        </w:rPr>
        <w:t xml:space="preserve"> יצא, וחייב ליתן עוד חמישה מחדש ואין הארבעה מהחשבון, ואם כן כיוון </w:t>
      </w:r>
      <w:proofErr w:type="spellStart"/>
      <w:r>
        <w:rPr>
          <w:rFonts w:ascii="David" w:hAnsi="David" w:cs="David"/>
          <w:sz w:val="24"/>
          <w:szCs w:val="24"/>
          <w:rtl/>
        </w:rPr>
        <w:t>דכשנותן</w:t>
      </w:r>
      <w:proofErr w:type="spellEnd"/>
      <w:r>
        <w:rPr>
          <w:rFonts w:ascii="David" w:hAnsi="David" w:cs="David"/>
          <w:sz w:val="24"/>
          <w:szCs w:val="24"/>
          <w:rtl/>
        </w:rPr>
        <w:t xml:space="preserve"> ארבעה וההקדש יתפוס זה עבור חוב הראשון – לא יושלם על ידי זה החוב, וכשנוטלים על חוב השני נשלם החוב, ולכן אין יכולים לתפוס.. ולומר שהם לא </w:t>
      </w:r>
      <w:proofErr w:type="spellStart"/>
      <w:r>
        <w:rPr>
          <w:rFonts w:ascii="David" w:hAnsi="David" w:cs="David"/>
          <w:sz w:val="24"/>
          <w:szCs w:val="24"/>
          <w:rtl/>
        </w:rPr>
        <w:t>יקחו</w:t>
      </w:r>
      <w:proofErr w:type="spellEnd"/>
      <w:r>
        <w:rPr>
          <w:rFonts w:ascii="David" w:hAnsi="David" w:cs="David"/>
          <w:sz w:val="24"/>
          <w:szCs w:val="24"/>
          <w:rtl/>
        </w:rPr>
        <w:t xml:space="preserve"> זה עבור חוב השני אלא בתורת משכון עבור הראשון, ואחר כך כאשר ישלם עוד אחד </w:t>
      </w:r>
      <w:proofErr w:type="spellStart"/>
      <w:r>
        <w:rPr>
          <w:rFonts w:ascii="David" w:hAnsi="David" w:cs="David"/>
          <w:sz w:val="24"/>
          <w:szCs w:val="24"/>
          <w:rtl/>
        </w:rPr>
        <w:t>יטול</w:t>
      </w:r>
      <w:proofErr w:type="spellEnd"/>
      <w:r>
        <w:rPr>
          <w:rFonts w:ascii="David" w:hAnsi="David" w:cs="David"/>
          <w:sz w:val="24"/>
          <w:szCs w:val="24"/>
          <w:rtl/>
        </w:rPr>
        <w:t xml:space="preserve"> הכול לראשון – זה לא מצינו, </w:t>
      </w:r>
      <w:proofErr w:type="spellStart"/>
      <w:r>
        <w:rPr>
          <w:rFonts w:ascii="David" w:hAnsi="David" w:cs="David"/>
          <w:b/>
          <w:bCs/>
          <w:sz w:val="24"/>
          <w:szCs w:val="24"/>
          <w:rtl/>
        </w:rPr>
        <w:t>דמצינו</w:t>
      </w:r>
      <w:proofErr w:type="spellEnd"/>
      <w:r>
        <w:rPr>
          <w:rFonts w:ascii="David" w:hAnsi="David" w:cs="David"/>
          <w:b/>
          <w:bCs/>
          <w:sz w:val="24"/>
          <w:szCs w:val="24"/>
          <w:rtl/>
        </w:rPr>
        <w:t xml:space="preserve"> רק </w:t>
      </w:r>
      <w:proofErr w:type="spellStart"/>
      <w:r>
        <w:rPr>
          <w:rFonts w:ascii="David" w:hAnsi="David" w:cs="David"/>
          <w:b/>
          <w:bCs/>
          <w:sz w:val="24"/>
          <w:szCs w:val="24"/>
          <w:rtl/>
        </w:rPr>
        <w:t>דיכול</w:t>
      </w:r>
      <w:proofErr w:type="spellEnd"/>
      <w:r>
        <w:rPr>
          <w:rFonts w:ascii="David" w:hAnsi="David" w:cs="David"/>
          <w:b/>
          <w:bCs/>
          <w:sz w:val="24"/>
          <w:szCs w:val="24"/>
          <w:rtl/>
        </w:rPr>
        <w:t xml:space="preserve"> לומר: 'עבור חוב זה אני נוטל'. אבל לומר 'בתורת משכון אני נוטל' זה לא מצינו</w:t>
      </w:r>
      <w:r>
        <w:rPr>
          <w:rStyle w:val="a6"/>
          <w:rFonts w:ascii="David" w:hAnsi="David" w:cs="David"/>
          <w:sz w:val="24"/>
          <w:szCs w:val="24"/>
          <w:rtl/>
        </w:rPr>
        <w:footnoteReference w:id="36"/>
      </w:r>
      <w:r>
        <w:rPr>
          <w:rFonts w:ascii="David" w:hAnsi="David" w:cs="David"/>
          <w:sz w:val="24"/>
          <w:szCs w:val="24"/>
          <w:rtl/>
        </w:rPr>
        <w:t xml:space="preserve">. </w:t>
      </w:r>
    </w:p>
    <w:p w14:paraId="561EE908" w14:textId="77777777" w:rsidR="004A5E4F" w:rsidRDefault="004A5E4F" w:rsidP="004A5E4F">
      <w:pPr>
        <w:rPr>
          <w:rtl/>
        </w:rPr>
      </w:pPr>
      <w:r>
        <w:rPr>
          <w:rFonts w:asciiTheme="majorBidi" w:hAnsiTheme="majorBidi" w:cstheme="majorBidi"/>
          <w:sz w:val="24"/>
          <w:szCs w:val="24"/>
          <w:rtl/>
        </w:rPr>
        <w:t>ולכן רשאי להחשיב התשלום עבור הנדר השני ויוצא ידי שני התשלומים.</w:t>
      </w:r>
      <w:r>
        <w:rPr>
          <w:rFonts w:asciiTheme="majorBidi" w:hAnsiTheme="majorBidi" w:cstheme="majorBidi"/>
          <w:b/>
          <w:bCs/>
          <w:sz w:val="28"/>
          <w:szCs w:val="28"/>
          <w:u w:val="single"/>
          <w:rtl/>
        </w:rPr>
        <w:t xml:space="preserve"> </w:t>
      </w:r>
    </w:p>
    <w:p w14:paraId="7ADEB8DC" w14:textId="77777777" w:rsidR="004A5E4F" w:rsidRDefault="004A5E4F" w:rsidP="004A5E4F">
      <w:pPr>
        <w:ind w:left="2065" w:hanging="2065"/>
        <w:rPr>
          <w:rtl/>
        </w:rPr>
      </w:pPr>
    </w:p>
    <w:p w14:paraId="589B3D5E" w14:textId="19DD3486" w:rsidR="004A5E4F" w:rsidRPr="00CA1728" w:rsidRDefault="001B66D6" w:rsidP="004A5E4F">
      <w:pPr>
        <w:rPr>
          <w:rFonts w:ascii="David" w:hAnsi="David" w:cs="David"/>
          <w:sz w:val="24"/>
          <w:szCs w:val="24"/>
          <w:rtl/>
        </w:rPr>
      </w:pPr>
      <w:r>
        <w:rPr>
          <w:rFonts w:asciiTheme="majorBidi" w:hAnsiTheme="majorBidi" w:cstheme="majorBidi" w:hint="cs"/>
          <w:b/>
          <w:bCs/>
          <w:sz w:val="28"/>
          <w:szCs w:val="28"/>
          <w:u w:val="single"/>
          <w:rtl/>
        </w:rPr>
        <w:lastRenderedPageBreak/>
        <w:t xml:space="preserve"> </w:t>
      </w:r>
    </w:p>
    <w:p w14:paraId="568E33F6" w14:textId="77777777" w:rsidR="004A5E4F" w:rsidRDefault="004A5E4F" w:rsidP="004A5E4F">
      <w:pPr>
        <w:ind w:left="2065" w:hanging="2065"/>
      </w:pPr>
    </w:p>
    <w:p w14:paraId="089A10FC" w14:textId="77777777" w:rsidR="004A5E4F" w:rsidRPr="004A5E4F" w:rsidRDefault="004A5E4F"/>
    <w:sectPr w:rsidR="004A5E4F" w:rsidRPr="004A5E4F" w:rsidSect="006236FC">
      <w:footnotePr>
        <w:numRestart w:val="eachSect"/>
      </w:footnotePr>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אבי ונגרובר" w:date="2025-08-13T11:31:00Z" w:initials="או">
    <w:p w14:paraId="286C4507" w14:textId="77777777" w:rsidR="004A5E4F" w:rsidRDefault="004A5E4F" w:rsidP="004A5E4F">
      <w:pPr>
        <w:pStyle w:val="a9"/>
        <w:jc w:val="right"/>
        <w:rPr>
          <w:rtl/>
        </w:rPr>
      </w:pPr>
      <w:r>
        <w:rPr>
          <w:rStyle w:val="a8"/>
        </w:rPr>
        <w:annotationRef/>
      </w:r>
      <w:r>
        <w:rPr>
          <w:rtl/>
        </w:rPr>
        <w:t>רצוי להסביר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6C450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78C8C" w16cex:dateUtc="2025-08-13T1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6C4507" w16cid:durableId="2C478C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1781" w14:textId="77777777" w:rsidR="00F902A4" w:rsidRDefault="00F902A4" w:rsidP="004A5E4F">
      <w:pPr>
        <w:spacing w:line="240" w:lineRule="auto"/>
      </w:pPr>
      <w:r>
        <w:separator/>
      </w:r>
    </w:p>
  </w:endnote>
  <w:endnote w:type="continuationSeparator" w:id="0">
    <w:p w14:paraId="7B29CC1F" w14:textId="77777777" w:rsidR="00F902A4" w:rsidRDefault="00F902A4" w:rsidP="004A5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CDA7C" w14:textId="77777777" w:rsidR="00F902A4" w:rsidRDefault="00F902A4" w:rsidP="004A5E4F">
      <w:pPr>
        <w:spacing w:line="240" w:lineRule="auto"/>
      </w:pPr>
      <w:r>
        <w:separator/>
      </w:r>
    </w:p>
  </w:footnote>
  <w:footnote w:type="continuationSeparator" w:id="0">
    <w:p w14:paraId="7354BE86" w14:textId="77777777" w:rsidR="00F902A4" w:rsidRDefault="00F902A4" w:rsidP="004A5E4F">
      <w:pPr>
        <w:spacing w:line="240" w:lineRule="auto"/>
      </w:pPr>
      <w:r>
        <w:continuationSeparator/>
      </w:r>
    </w:p>
  </w:footnote>
  <w:footnote w:id="1">
    <w:p w14:paraId="6206F98B" w14:textId="77777777" w:rsidR="004A5E4F" w:rsidRDefault="004A5E4F" w:rsidP="004A5E4F">
      <w:pPr>
        <w:rPr>
          <w:rFonts w:asciiTheme="majorBidi" w:hAnsiTheme="majorBidi" w:cstheme="majorBidi"/>
          <w:sz w:val="20"/>
          <w:szCs w:val="20"/>
        </w:rPr>
      </w:pPr>
      <w:r>
        <w:rPr>
          <w:rStyle w:val="a6"/>
          <w:rFonts w:asciiTheme="majorBidi" w:hAnsiTheme="majorBidi" w:cstheme="majorBidi"/>
        </w:rPr>
        <w:footnoteRef/>
      </w:r>
      <w:r>
        <w:rPr>
          <w:rFonts w:asciiTheme="majorBidi" w:hAnsiTheme="majorBidi" w:cstheme="majorBidi"/>
          <w:sz w:val="20"/>
          <w:szCs w:val="20"/>
          <w:rtl/>
        </w:rPr>
        <w:t xml:space="preserve"> ויקרא </w:t>
      </w:r>
      <w:proofErr w:type="spellStart"/>
      <w:r>
        <w:rPr>
          <w:rFonts w:asciiTheme="majorBidi" w:hAnsiTheme="majorBidi" w:cstheme="majorBidi"/>
          <w:sz w:val="20"/>
          <w:szCs w:val="20"/>
          <w:rtl/>
        </w:rPr>
        <w:t>כז</w:t>
      </w:r>
      <w:proofErr w:type="spellEnd"/>
      <w:r>
        <w:rPr>
          <w:rFonts w:asciiTheme="majorBidi" w:hAnsiTheme="majorBidi" w:cstheme="majorBidi"/>
          <w:sz w:val="20"/>
          <w:szCs w:val="20"/>
          <w:rtl/>
        </w:rPr>
        <w:t>, ח.</w:t>
      </w:r>
    </w:p>
  </w:footnote>
  <w:footnote w:id="2">
    <w:p w14:paraId="40A0408F" w14:textId="77777777" w:rsidR="004A5E4F" w:rsidRDefault="004A5E4F" w:rsidP="004A5E4F">
      <w:pPr>
        <w:rPr>
          <w:rFonts w:asciiTheme="majorBidi" w:hAnsiTheme="majorBidi" w:cstheme="majorBidi"/>
          <w:sz w:val="20"/>
          <w:szCs w:val="20"/>
          <w:rtl/>
        </w:rPr>
      </w:pPr>
      <w:r>
        <w:rPr>
          <w:rStyle w:val="a6"/>
          <w:rFonts w:asciiTheme="majorBidi" w:hAnsiTheme="majorBidi" w:cstheme="majorBidi"/>
        </w:rPr>
        <w:footnoteRef/>
      </w:r>
      <w:r>
        <w:rPr>
          <w:rFonts w:asciiTheme="majorBidi" w:hAnsiTheme="majorBidi" w:cstheme="majorBidi"/>
          <w:sz w:val="20"/>
          <w:szCs w:val="20"/>
          <w:rtl/>
        </w:rPr>
        <w:t xml:space="preserve"> </w:t>
      </w:r>
      <w:r>
        <w:rPr>
          <w:rFonts w:asciiTheme="majorBidi" w:hAnsiTheme="majorBidi" w:cstheme="majorBidi"/>
          <w:sz w:val="20"/>
          <w:szCs w:val="20"/>
          <w:rtl/>
        </w:rPr>
        <w:t>רש"י שם.</w:t>
      </w:r>
    </w:p>
  </w:footnote>
  <w:footnote w:id="3">
    <w:p w14:paraId="5ED9797A" w14:textId="77777777" w:rsidR="004A5E4F" w:rsidRDefault="004A5E4F" w:rsidP="004A5E4F">
      <w:pPr>
        <w:rPr>
          <w:rFonts w:asciiTheme="majorBidi" w:hAnsiTheme="majorBidi" w:cstheme="majorBidi"/>
          <w:sz w:val="20"/>
          <w:szCs w:val="20"/>
          <w:rtl/>
        </w:rPr>
      </w:pPr>
      <w:r>
        <w:rPr>
          <w:rStyle w:val="a6"/>
          <w:rFonts w:asciiTheme="majorBidi" w:hAnsiTheme="majorBidi" w:cstheme="majorBidi"/>
        </w:rPr>
        <w:footnoteRef/>
      </w:r>
      <w:r>
        <w:rPr>
          <w:rFonts w:asciiTheme="majorBidi" w:hAnsiTheme="majorBidi" w:cstheme="majorBidi"/>
          <w:sz w:val="20"/>
          <w:szCs w:val="20"/>
          <w:rtl/>
        </w:rPr>
        <w:t xml:space="preserve"> </w:t>
      </w:r>
      <w:r>
        <w:rPr>
          <w:rFonts w:asciiTheme="majorBidi" w:hAnsiTheme="majorBidi" w:cstheme="majorBidi"/>
          <w:sz w:val="20"/>
          <w:szCs w:val="20"/>
          <w:rtl/>
        </w:rPr>
        <w:t>תוספות כתובות צ, א ד"ה שמע מינה.</w:t>
      </w:r>
    </w:p>
  </w:footnote>
  <w:footnote w:id="4">
    <w:p w14:paraId="58161AC1" w14:textId="77777777" w:rsidR="004A5E4F" w:rsidRDefault="004A5E4F" w:rsidP="004A5E4F">
      <w:pPr>
        <w:rPr>
          <w:rFonts w:asciiTheme="majorBidi" w:hAnsiTheme="majorBidi" w:cstheme="majorBidi"/>
          <w:sz w:val="20"/>
          <w:szCs w:val="20"/>
        </w:rPr>
      </w:pPr>
      <w:r>
        <w:rPr>
          <w:rStyle w:val="a6"/>
          <w:rFonts w:asciiTheme="majorBidi" w:hAnsiTheme="majorBidi" w:cstheme="majorBidi"/>
        </w:rPr>
        <w:footnoteRef/>
      </w:r>
      <w:r>
        <w:rPr>
          <w:rFonts w:asciiTheme="majorBidi" w:hAnsiTheme="majorBidi" w:cstheme="majorBidi"/>
          <w:sz w:val="20"/>
          <w:szCs w:val="20"/>
          <w:rtl/>
        </w:rPr>
        <w:t xml:space="preserve"> </w:t>
      </w:r>
      <w:r>
        <w:rPr>
          <w:rFonts w:asciiTheme="majorBidi" w:hAnsiTheme="majorBidi" w:cstheme="majorBidi"/>
          <w:sz w:val="20"/>
          <w:szCs w:val="20"/>
          <w:rtl/>
        </w:rPr>
        <w:t xml:space="preserve">רש"י ערכין ז, ב ד"ה מה שגבה גבה. </w:t>
      </w:r>
    </w:p>
  </w:footnote>
  <w:footnote w:id="5">
    <w:p w14:paraId="630D4B5B" w14:textId="77777777" w:rsidR="004A5E4F" w:rsidRDefault="004A5E4F" w:rsidP="004A5E4F">
      <w:pPr>
        <w:pStyle w:val="a4"/>
        <w:spacing w:line="360" w:lineRule="auto"/>
        <w:rPr>
          <w:rFonts w:asciiTheme="majorBidi" w:hAnsiTheme="majorBidi" w:cstheme="majorBidi"/>
        </w:rPr>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rtl/>
        </w:rPr>
        <w:t>רש"י ד"ה ונתן.</w:t>
      </w:r>
    </w:p>
  </w:footnote>
  <w:footnote w:id="6">
    <w:p w14:paraId="1010DBD2" w14:textId="77777777" w:rsidR="004A5E4F" w:rsidRDefault="004A5E4F" w:rsidP="004A5E4F">
      <w:pPr>
        <w:pStyle w:val="a4"/>
        <w:spacing w:line="360" w:lineRule="auto"/>
        <w:rPr>
          <w:rFonts w:asciiTheme="majorBidi" w:hAnsiTheme="majorBidi" w:cstheme="majorBidi"/>
        </w:rPr>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rtl/>
        </w:rPr>
        <w:t xml:space="preserve">רש"י שם. </w:t>
      </w:r>
    </w:p>
  </w:footnote>
  <w:footnote w:id="7">
    <w:p w14:paraId="71CDC122" w14:textId="77777777" w:rsidR="004A5E4F" w:rsidRDefault="004A5E4F" w:rsidP="004A5E4F">
      <w:pPr>
        <w:pStyle w:val="a4"/>
        <w:spacing w:line="360" w:lineRule="auto"/>
        <w:rPr>
          <w:rtl/>
        </w:rPr>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rtl/>
        </w:rPr>
        <w:t>כתובות פרק י משנה א.</w:t>
      </w:r>
    </w:p>
  </w:footnote>
  <w:footnote w:id="8">
    <w:p w14:paraId="7D7717E1" w14:textId="77777777" w:rsidR="004A5E4F" w:rsidRDefault="004A5E4F" w:rsidP="004A5E4F">
      <w:pPr>
        <w:rPr>
          <w:rFonts w:asciiTheme="majorBidi" w:hAnsiTheme="majorBidi" w:cstheme="majorBidi"/>
          <w:sz w:val="20"/>
          <w:szCs w:val="20"/>
          <w:rtl/>
        </w:rPr>
      </w:pPr>
      <w:r>
        <w:rPr>
          <w:rStyle w:val="a6"/>
          <w:rFonts w:asciiTheme="majorBidi" w:hAnsiTheme="majorBidi" w:cstheme="majorBidi"/>
        </w:rPr>
        <w:footnoteRef/>
      </w:r>
      <w:r>
        <w:rPr>
          <w:rFonts w:asciiTheme="majorBidi" w:hAnsiTheme="majorBidi" w:cstheme="majorBidi"/>
          <w:sz w:val="20"/>
          <w:szCs w:val="20"/>
          <w:rtl/>
        </w:rPr>
        <w:t xml:space="preserve"> </w:t>
      </w:r>
      <w:r>
        <w:rPr>
          <w:rFonts w:asciiTheme="majorBidi" w:hAnsiTheme="majorBidi" w:cstheme="majorBidi" w:hint="cs"/>
          <w:sz w:val="20"/>
          <w:szCs w:val="20"/>
          <w:rtl/>
        </w:rPr>
        <w:t>כתובות צ, א-ב.</w:t>
      </w:r>
    </w:p>
  </w:footnote>
  <w:footnote w:id="9">
    <w:p w14:paraId="5CDC0D8B" w14:textId="77777777" w:rsidR="004A5E4F" w:rsidRDefault="004A5E4F" w:rsidP="004A5E4F">
      <w:pPr>
        <w:pStyle w:val="a4"/>
        <w:spacing w:line="360" w:lineRule="auto"/>
        <w:rPr>
          <w:rFonts w:asciiTheme="majorBidi" w:hAnsiTheme="majorBidi" w:cstheme="majorBidi"/>
          <w:rtl/>
        </w:rPr>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hint="cs"/>
          <w:rtl/>
        </w:rPr>
        <w:t>כתובות צד, א.</w:t>
      </w:r>
    </w:p>
  </w:footnote>
  <w:footnote w:id="10">
    <w:p w14:paraId="0100829D" w14:textId="77777777" w:rsidR="004A5E4F" w:rsidRDefault="004A5E4F" w:rsidP="004A5E4F">
      <w:pPr>
        <w:pStyle w:val="a4"/>
        <w:spacing w:line="360" w:lineRule="auto"/>
        <w:rPr>
          <w:rFonts w:asciiTheme="majorBidi" w:hAnsiTheme="majorBidi" w:cstheme="majorBidi"/>
        </w:rPr>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hint="cs"/>
          <w:rtl/>
        </w:rPr>
        <w:t>בירור הלכה לכתובות צ, א ציון ד אות א. שם הוא מביא גם דעת מיעוט בשם כמה גאונים שמה שגבה - גבה.</w:t>
      </w:r>
    </w:p>
  </w:footnote>
  <w:footnote w:id="11">
    <w:p w14:paraId="0B9F70D8" w14:textId="77777777" w:rsidR="004A5E4F" w:rsidRDefault="004A5E4F" w:rsidP="004A5E4F">
      <w:pPr>
        <w:pStyle w:val="a4"/>
        <w:rPr>
          <w:rFonts w:asciiTheme="majorBidi" w:hAnsiTheme="majorBidi" w:cstheme="majorBidi"/>
          <w:rtl/>
        </w:rPr>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hint="cs"/>
          <w:rtl/>
        </w:rPr>
        <w:t xml:space="preserve">"בספר אמרי בינה [הלכות גביית חוב ח] תמה מה בכלל הוקשה לראשונים, והרי כל הדין שבעל חוב מאוחר שקדם וגבה לא גבה זה </w:t>
      </w:r>
      <w:r>
        <w:rPr>
          <w:rFonts w:asciiTheme="majorBidi" w:hAnsiTheme="majorBidi" w:cstheme="majorBidi" w:hint="cs"/>
          <w:b/>
          <w:bCs/>
          <w:rtl/>
        </w:rPr>
        <w:t xml:space="preserve">רק </w:t>
      </w:r>
      <w:proofErr w:type="spellStart"/>
      <w:r>
        <w:rPr>
          <w:rFonts w:asciiTheme="majorBidi" w:hAnsiTheme="majorBidi" w:cstheme="majorBidi" w:hint="cs"/>
          <w:b/>
          <w:bCs/>
          <w:rtl/>
        </w:rPr>
        <w:t>כשהמלוה</w:t>
      </w:r>
      <w:proofErr w:type="spellEnd"/>
      <w:r>
        <w:rPr>
          <w:rFonts w:asciiTheme="majorBidi" w:hAnsiTheme="majorBidi" w:cstheme="majorBidi" w:hint="cs"/>
          <w:b/>
          <w:bCs/>
          <w:rtl/>
        </w:rPr>
        <w:t xml:space="preserve"> גבה מעצמו</w:t>
      </w:r>
      <w:r>
        <w:rPr>
          <w:rFonts w:asciiTheme="majorBidi" w:hAnsiTheme="majorBidi" w:cstheme="majorBidi" w:hint="cs"/>
          <w:rtl/>
        </w:rPr>
        <w:t xml:space="preserve">, אבל אם </w:t>
      </w:r>
      <w:proofErr w:type="spellStart"/>
      <w:r>
        <w:rPr>
          <w:rFonts w:asciiTheme="majorBidi" w:hAnsiTheme="majorBidi" w:cstheme="majorBidi" w:hint="cs"/>
          <w:rtl/>
        </w:rPr>
        <w:t>הלוה</w:t>
      </w:r>
      <w:proofErr w:type="spellEnd"/>
      <w:r>
        <w:rPr>
          <w:rFonts w:asciiTheme="majorBidi" w:hAnsiTheme="majorBidi" w:cstheme="majorBidi" w:hint="cs"/>
          <w:rtl/>
        </w:rPr>
        <w:t xml:space="preserve"> נתן מדעתו לבעל חוב המאוחר זה מועיל, וכאן </w:t>
      </w:r>
      <w:proofErr w:type="spellStart"/>
      <w:r>
        <w:rPr>
          <w:rFonts w:asciiTheme="majorBidi" w:hAnsiTheme="majorBidi" w:cstheme="majorBidi" w:hint="cs"/>
          <w:rtl/>
        </w:rPr>
        <w:t>בערכין</w:t>
      </w:r>
      <w:proofErr w:type="spellEnd"/>
      <w:r>
        <w:rPr>
          <w:rFonts w:asciiTheme="majorBidi" w:hAnsiTheme="majorBidi" w:cstheme="majorBidi" w:hint="cs"/>
          <w:rtl/>
        </w:rPr>
        <w:t xml:space="preserve"> הרי החייב נתן מרצונו ולכן מה שגבה גבה. וביאר האמרי בינה, </w:t>
      </w:r>
      <w:r>
        <w:rPr>
          <w:rFonts w:asciiTheme="majorBidi" w:hAnsiTheme="majorBidi" w:cstheme="majorBidi" w:hint="cs"/>
          <w:b/>
          <w:bCs/>
          <w:rtl/>
        </w:rPr>
        <w:t xml:space="preserve">כיון שנותן על פי ציווי הכהן אין זה נחשב שהגביה מרצון </w:t>
      </w:r>
      <w:proofErr w:type="spellStart"/>
      <w:r>
        <w:rPr>
          <w:rFonts w:asciiTheme="majorBidi" w:hAnsiTheme="majorBidi" w:cstheme="majorBidi" w:hint="cs"/>
          <w:b/>
          <w:bCs/>
          <w:rtl/>
        </w:rPr>
        <w:t>הלוה</w:t>
      </w:r>
      <w:proofErr w:type="spellEnd"/>
      <w:r>
        <w:rPr>
          <w:rFonts w:asciiTheme="majorBidi" w:hAnsiTheme="majorBidi" w:cstheme="majorBidi" w:hint="cs"/>
          <w:rtl/>
        </w:rPr>
        <w:t>" (חברותא ז, ב הערה 5).</w:t>
      </w:r>
    </w:p>
    <w:p w14:paraId="7EB8BD99" w14:textId="77777777" w:rsidR="004A5E4F" w:rsidRDefault="004A5E4F" w:rsidP="004A5E4F">
      <w:pPr>
        <w:pStyle w:val="a4"/>
        <w:rPr>
          <w:rFonts w:asciiTheme="majorBidi" w:hAnsiTheme="majorBidi" w:cstheme="majorBidi"/>
          <w:rtl/>
        </w:rPr>
      </w:pPr>
    </w:p>
  </w:footnote>
  <w:footnote w:id="12">
    <w:p w14:paraId="104E8597" w14:textId="77777777" w:rsidR="004A5E4F" w:rsidRDefault="004A5E4F" w:rsidP="004A5E4F">
      <w:pPr>
        <w:pStyle w:val="a4"/>
        <w:rPr>
          <w:rFonts w:asciiTheme="majorBidi" w:hAnsiTheme="majorBidi" w:cstheme="majorBidi"/>
          <w:rtl/>
        </w:rPr>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hint="cs"/>
          <w:rtl/>
        </w:rPr>
        <w:t xml:space="preserve">שיטה מקובצת אות </w:t>
      </w:r>
      <w:proofErr w:type="spellStart"/>
      <w:r>
        <w:rPr>
          <w:rFonts w:asciiTheme="majorBidi" w:hAnsiTheme="majorBidi" w:cstheme="majorBidi" w:hint="cs"/>
          <w:rtl/>
        </w:rPr>
        <w:t>יג</w:t>
      </w:r>
      <w:proofErr w:type="spellEnd"/>
      <w:r>
        <w:rPr>
          <w:rFonts w:asciiTheme="majorBidi" w:hAnsiTheme="majorBidi" w:cstheme="majorBidi" w:hint="cs"/>
          <w:rtl/>
        </w:rPr>
        <w:t xml:space="preserve"> בסוגייתנו בשם תוספות. אלא שבהמשך דברי התוספות המסקנה היא שאפילו </w:t>
      </w:r>
      <w:r>
        <w:rPr>
          <w:rFonts w:asciiTheme="majorBidi" w:hAnsiTheme="majorBidi" w:cs="David"/>
          <w:rtl/>
        </w:rPr>
        <w:t xml:space="preserve">"לפי הדעה שמה שגבה גבה, אין זה אלא </w:t>
      </w:r>
      <w:proofErr w:type="spellStart"/>
      <w:r>
        <w:rPr>
          <w:rFonts w:asciiTheme="majorBidi" w:hAnsiTheme="majorBidi" w:cs="David"/>
          <w:rtl/>
        </w:rPr>
        <w:t>במטלטלין</w:t>
      </w:r>
      <w:proofErr w:type="spellEnd"/>
      <w:r>
        <w:rPr>
          <w:rFonts w:asciiTheme="majorBidi" w:hAnsiTheme="majorBidi" w:cs="David"/>
          <w:rtl/>
        </w:rPr>
        <w:t xml:space="preserve">... בקרקעות הדין מוסכם שמה שגבה לא גבה... שדין </w:t>
      </w:r>
      <w:proofErr w:type="spellStart"/>
      <w:r>
        <w:rPr>
          <w:rFonts w:asciiTheme="majorBidi" w:hAnsiTheme="majorBidi" w:cs="David"/>
          <w:rtl/>
        </w:rPr>
        <w:t>שעבודא</w:t>
      </w:r>
      <w:proofErr w:type="spellEnd"/>
      <w:r>
        <w:rPr>
          <w:rFonts w:asciiTheme="majorBidi" w:hAnsiTheme="majorBidi" w:cs="David"/>
          <w:rtl/>
        </w:rPr>
        <w:t xml:space="preserve"> דאורייתא חל מלכתחילה גם על המטלטלים, שהרי על כך אמרה תורה: "...יוציא אליך את העבוט החוצה" </w:t>
      </w:r>
      <w:r>
        <w:rPr>
          <w:rFonts w:asciiTheme="majorBidi" w:hAnsiTheme="majorBidi" w:cstheme="majorBidi"/>
          <w:rtl/>
        </w:rPr>
        <w:t>(בירור הלכה לכתובות צ, א ציון ד סוף אות ב). לפי זה לכאורה קשה להשתמש בחילוק זה לתירוץ הסתירה להלכה.</w:t>
      </w:r>
    </w:p>
    <w:p w14:paraId="2F67BC69" w14:textId="77777777" w:rsidR="004A5E4F" w:rsidRDefault="004A5E4F" w:rsidP="004A5E4F">
      <w:pPr>
        <w:pStyle w:val="a4"/>
        <w:rPr>
          <w:rFonts w:asciiTheme="majorBidi" w:hAnsiTheme="majorBidi" w:cstheme="majorBidi"/>
          <w:rtl/>
        </w:rPr>
      </w:pPr>
    </w:p>
  </w:footnote>
  <w:footnote w:id="13">
    <w:p w14:paraId="39B3D7B8" w14:textId="77777777" w:rsidR="004A5E4F" w:rsidRDefault="004A5E4F" w:rsidP="004A5E4F">
      <w:pPr>
        <w:pStyle w:val="a4"/>
        <w:rPr>
          <w:rFonts w:asciiTheme="majorBidi" w:hAnsiTheme="majorBidi" w:cstheme="majorBidi"/>
          <w:rtl/>
        </w:rPr>
      </w:pPr>
      <w:r>
        <w:rPr>
          <w:rStyle w:val="a6"/>
          <w:rFonts w:cs="David"/>
        </w:rPr>
        <w:footnoteRef/>
      </w:r>
      <w:r>
        <w:rPr>
          <w:rFonts w:cs="David"/>
          <w:rtl/>
        </w:rPr>
        <w:t xml:space="preserve"> </w:t>
      </w:r>
      <w:r>
        <w:rPr>
          <w:rFonts w:cs="David" w:hint="cs"/>
          <w:rtl/>
        </w:rPr>
        <w:t xml:space="preserve">"הרמב"ם כותב שאין דין קדימה </w:t>
      </w:r>
      <w:proofErr w:type="spellStart"/>
      <w:r>
        <w:rPr>
          <w:rFonts w:cs="David" w:hint="cs"/>
          <w:rtl/>
        </w:rPr>
        <w:t>במטלטלין</w:t>
      </w:r>
      <w:proofErr w:type="spellEnd"/>
      <w:r>
        <w:rPr>
          <w:rFonts w:cs="David" w:hint="cs"/>
          <w:rtl/>
        </w:rPr>
        <w:t xml:space="preserve">, אלא כל שגבה מהם זכה, אף על פי שהוא אחרון. לעומת זאת כותב </w:t>
      </w:r>
      <w:proofErr w:type="spellStart"/>
      <w:r>
        <w:rPr>
          <w:rFonts w:cs="David" w:hint="cs"/>
          <w:rtl/>
        </w:rPr>
        <w:t>הרשב"א</w:t>
      </w:r>
      <w:proofErr w:type="spellEnd"/>
      <w:r>
        <w:rPr>
          <w:rFonts w:cs="David" w:hint="cs"/>
          <w:rtl/>
        </w:rPr>
        <w:t xml:space="preserve"> שיש דין קדימה אף </w:t>
      </w:r>
      <w:proofErr w:type="spellStart"/>
      <w:r>
        <w:rPr>
          <w:rFonts w:cs="David" w:hint="cs"/>
          <w:rtl/>
        </w:rPr>
        <w:t>במטלטלין</w:t>
      </w:r>
      <w:proofErr w:type="spellEnd"/>
      <w:r>
        <w:rPr>
          <w:rFonts w:cs="David" w:hint="cs"/>
          <w:rtl/>
        </w:rPr>
        <w:t xml:space="preserve"> כל זמן שנמצאים ביד הלווה. ומה שאמרו שאין בהם שעבוד היינו כשמכרם ונמצאים ביד הלקוחות"</w:t>
      </w:r>
      <w:r>
        <w:rPr>
          <w:rtl/>
        </w:rPr>
        <w:t xml:space="preserve"> </w:t>
      </w:r>
      <w:r>
        <w:rPr>
          <w:rFonts w:asciiTheme="majorBidi" w:hAnsiTheme="majorBidi" w:cstheme="majorBidi"/>
          <w:rtl/>
        </w:rPr>
        <w:t>(בירור הלכה לכתובות צ, א ציון ד אות ב בסוף עמ' רצה).</w:t>
      </w:r>
    </w:p>
    <w:p w14:paraId="436783F0" w14:textId="77777777" w:rsidR="004A5E4F" w:rsidRDefault="004A5E4F" w:rsidP="004A5E4F">
      <w:pPr>
        <w:pStyle w:val="a4"/>
        <w:rPr>
          <w:rFonts w:asciiTheme="majorBidi" w:hAnsiTheme="majorBidi" w:cstheme="majorBidi"/>
          <w:rtl/>
        </w:rPr>
      </w:pPr>
    </w:p>
  </w:footnote>
  <w:footnote w:id="14">
    <w:p w14:paraId="753D5CB6" w14:textId="77777777" w:rsidR="004A5E4F" w:rsidRDefault="004A5E4F" w:rsidP="004A5E4F">
      <w:pPr>
        <w:rPr>
          <w:rFonts w:asciiTheme="majorBidi" w:hAnsiTheme="majorBidi" w:cstheme="majorBidi"/>
          <w:sz w:val="20"/>
          <w:szCs w:val="20"/>
        </w:rPr>
      </w:pPr>
      <w:r>
        <w:rPr>
          <w:rStyle w:val="a6"/>
          <w:rFonts w:asciiTheme="majorBidi" w:hAnsiTheme="majorBidi" w:cstheme="majorBidi"/>
        </w:rPr>
        <w:footnoteRef/>
      </w:r>
      <w:r>
        <w:rPr>
          <w:rFonts w:asciiTheme="majorBidi" w:hAnsiTheme="majorBidi" w:cstheme="majorBidi"/>
          <w:sz w:val="20"/>
          <w:szCs w:val="20"/>
          <w:rtl/>
        </w:rPr>
        <w:t xml:space="preserve"> </w:t>
      </w:r>
      <w:r>
        <w:rPr>
          <w:rFonts w:asciiTheme="majorBidi" w:hAnsiTheme="majorBidi" w:cstheme="majorBidi"/>
          <w:sz w:val="20"/>
          <w:szCs w:val="20"/>
          <w:rtl/>
        </w:rPr>
        <w:t xml:space="preserve">תוספות כתובות צ, א ד"ה שמע מינה בשם </w:t>
      </w:r>
      <w:proofErr w:type="spellStart"/>
      <w:r>
        <w:rPr>
          <w:rFonts w:asciiTheme="majorBidi" w:hAnsiTheme="majorBidi" w:cstheme="majorBidi"/>
          <w:sz w:val="20"/>
          <w:szCs w:val="20"/>
          <w:rtl/>
        </w:rPr>
        <w:t>הר"ח</w:t>
      </w:r>
      <w:proofErr w:type="spellEnd"/>
      <w:r>
        <w:rPr>
          <w:rFonts w:asciiTheme="majorBidi" w:hAnsiTheme="majorBidi" w:cstheme="majorBidi"/>
          <w:sz w:val="20"/>
          <w:szCs w:val="20"/>
          <w:rtl/>
        </w:rPr>
        <w:t>.</w:t>
      </w:r>
    </w:p>
  </w:footnote>
  <w:footnote w:id="15">
    <w:p w14:paraId="4E1A99BE" w14:textId="77777777" w:rsidR="004A5E4F" w:rsidRDefault="004A5E4F" w:rsidP="004A5E4F">
      <w:pPr>
        <w:pStyle w:val="a4"/>
        <w:spacing w:line="360" w:lineRule="auto"/>
        <w:rPr>
          <w:rFonts w:asciiTheme="majorBidi" w:hAnsiTheme="majorBidi" w:cstheme="majorBidi"/>
          <w:rtl/>
        </w:rPr>
      </w:pPr>
      <w:r>
        <w:rPr>
          <w:rStyle w:val="a6"/>
          <w:rFonts w:asciiTheme="majorBidi" w:hAnsiTheme="majorBidi" w:cstheme="majorBidi"/>
        </w:rPr>
        <w:footnoteRef/>
      </w:r>
      <w:r>
        <w:rPr>
          <w:rFonts w:asciiTheme="majorBidi" w:hAnsiTheme="majorBidi" w:cstheme="majorBidi"/>
          <w:rtl/>
        </w:rPr>
        <w:t xml:space="preserve"> </w:t>
      </w:r>
      <w:proofErr w:type="spellStart"/>
      <w:r>
        <w:rPr>
          <w:rFonts w:asciiTheme="majorBidi" w:hAnsiTheme="majorBidi" w:cstheme="majorBidi"/>
          <w:rtl/>
        </w:rPr>
        <w:t>חו"מ</w:t>
      </w:r>
      <w:proofErr w:type="spellEnd"/>
      <w:r>
        <w:rPr>
          <w:rFonts w:asciiTheme="majorBidi" w:hAnsiTheme="majorBidi" w:cstheme="majorBidi"/>
          <w:rtl/>
        </w:rPr>
        <w:t xml:space="preserve"> סימן פג סעיף ב.</w:t>
      </w:r>
    </w:p>
  </w:footnote>
  <w:footnote w:id="16">
    <w:p w14:paraId="6D88EFF4" w14:textId="77777777" w:rsidR="004A5E4F" w:rsidRDefault="004A5E4F" w:rsidP="004A5E4F">
      <w:pPr>
        <w:pStyle w:val="a4"/>
        <w:spacing w:line="360" w:lineRule="auto"/>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rtl/>
        </w:rPr>
        <w:t>בבא קמא כ, ב.</w:t>
      </w:r>
    </w:p>
  </w:footnote>
  <w:footnote w:id="17">
    <w:p w14:paraId="396A4CFE" w14:textId="77777777" w:rsidR="004A5E4F" w:rsidRDefault="004A5E4F" w:rsidP="004A5E4F">
      <w:pPr>
        <w:pStyle w:val="a4"/>
        <w:rPr>
          <w:rFonts w:asciiTheme="majorBidi" w:hAnsiTheme="majorBidi" w:cstheme="majorBidi"/>
          <w:rtl/>
        </w:rPr>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hint="cs"/>
          <w:rtl/>
        </w:rPr>
        <w:t xml:space="preserve">מו"ר הרב אריה בינה, 'בדין בעל חוב מאוחר שקדם וגבה', מתוך הספר 'ממיר נתיב מאיר' לרב נחום </w:t>
      </w:r>
      <w:proofErr w:type="spellStart"/>
      <w:r>
        <w:rPr>
          <w:rFonts w:asciiTheme="majorBidi" w:hAnsiTheme="majorBidi" w:cstheme="majorBidi" w:hint="cs"/>
          <w:rtl/>
        </w:rPr>
        <w:t>סטפנסקי</w:t>
      </w:r>
      <w:proofErr w:type="spellEnd"/>
      <w:r>
        <w:rPr>
          <w:rFonts w:asciiTheme="majorBidi" w:hAnsiTheme="majorBidi" w:cstheme="majorBidi" w:hint="cs"/>
          <w:rtl/>
        </w:rPr>
        <w:t xml:space="preserve"> עמ' עד. להלן: 'הרב בינה'.</w:t>
      </w:r>
    </w:p>
    <w:p w14:paraId="3E186EBC" w14:textId="77777777" w:rsidR="004A5E4F" w:rsidRDefault="004A5E4F" w:rsidP="004A5E4F">
      <w:pPr>
        <w:pStyle w:val="a4"/>
        <w:spacing w:line="360" w:lineRule="auto"/>
        <w:rPr>
          <w:rFonts w:asciiTheme="majorBidi" w:hAnsiTheme="majorBidi" w:cstheme="majorBidi"/>
          <w:rtl/>
        </w:rPr>
      </w:pPr>
      <w:r>
        <w:rPr>
          <w:rFonts w:asciiTheme="majorBidi" w:hAnsiTheme="majorBidi" w:cstheme="majorBidi"/>
          <w:rtl/>
        </w:rPr>
        <w:t>לשאלה זו נחזור בסוף הדברים.</w:t>
      </w:r>
    </w:p>
  </w:footnote>
  <w:footnote w:id="18">
    <w:p w14:paraId="4A5D008E" w14:textId="77777777" w:rsidR="004A5E4F" w:rsidRDefault="004A5E4F" w:rsidP="004A5E4F">
      <w:pPr>
        <w:pStyle w:val="a4"/>
        <w:spacing w:line="360" w:lineRule="auto"/>
        <w:rPr>
          <w:rFonts w:asciiTheme="majorBidi" w:hAnsiTheme="majorBidi" w:cstheme="majorBidi"/>
        </w:rPr>
      </w:pPr>
      <w:r>
        <w:rPr>
          <w:rStyle w:val="a6"/>
          <w:rFonts w:asciiTheme="majorBidi" w:hAnsiTheme="majorBidi" w:cstheme="majorBidi"/>
        </w:rPr>
        <w:footnoteRef/>
      </w:r>
      <w:r>
        <w:rPr>
          <w:rFonts w:asciiTheme="majorBidi" w:hAnsiTheme="majorBidi" w:cstheme="majorBidi"/>
          <w:rtl/>
        </w:rPr>
        <w:t xml:space="preserve"> </w:t>
      </w:r>
      <w:proofErr w:type="spellStart"/>
      <w:r>
        <w:rPr>
          <w:rFonts w:asciiTheme="majorBidi" w:hAnsiTheme="majorBidi" w:cstheme="majorBidi"/>
          <w:rtl/>
        </w:rPr>
        <w:t>ריטב"א</w:t>
      </w:r>
      <w:proofErr w:type="spellEnd"/>
      <w:r>
        <w:rPr>
          <w:rFonts w:asciiTheme="majorBidi" w:hAnsiTheme="majorBidi" w:cstheme="majorBidi"/>
          <w:rtl/>
        </w:rPr>
        <w:t xml:space="preserve"> כתובות צ, א ד"ה ואיכא </w:t>
      </w:r>
      <w:proofErr w:type="spellStart"/>
      <w:r>
        <w:rPr>
          <w:rFonts w:asciiTheme="majorBidi" w:hAnsiTheme="majorBidi" w:cstheme="majorBidi"/>
          <w:rtl/>
        </w:rPr>
        <w:t>דקשיא</w:t>
      </w:r>
      <w:proofErr w:type="spellEnd"/>
      <w:r>
        <w:rPr>
          <w:rFonts w:asciiTheme="majorBidi" w:hAnsiTheme="majorBidi" w:cstheme="majorBidi"/>
          <w:rtl/>
        </w:rPr>
        <w:t xml:space="preserve">. הרב בינה כתב כן בשם </w:t>
      </w:r>
      <w:proofErr w:type="spellStart"/>
      <w:r>
        <w:rPr>
          <w:rFonts w:asciiTheme="majorBidi" w:hAnsiTheme="majorBidi" w:cstheme="majorBidi"/>
          <w:rtl/>
        </w:rPr>
        <w:t>הרשב"א</w:t>
      </w:r>
      <w:proofErr w:type="spellEnd"/>
      <w:r>
        <w:rPr>
          <w:rFonts w:asciiTheme="majorBidi" w:hAnsiTheme="majorBidi" w:cstheme="majorBidi"/>
          <w:rtl/>
        </w:rPr>
        <w:t>.</w:t>
      </w:r>
    </w:p>
  </w:footnote>
  <w:footnote w:id="19">
    <w:p w14:paraId="6CEB34C1" w14:textId="77777777" w:rsidR="004A5E4F" w:rsidRDefault="004A5E4F" w:rsidP="004A5E4F">
      <w:pPr>
        <w:pStyle w:val="a4"/>
        <w:spacing w:line="360" w:lineRule="auto"/>
        <w:rPr>
          <w:rFonts w:asciiTheme="majorBidi" w:hAnsiTheme="majorBidi" w:cstheme="majorBidi"/>
          <w:rtl/>
        </w:rPr>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rtl/>
        </w:rPr>
        <w:t>שם.</w:t>
      </w:r>
    </w:p>
  </w:footnote>
  <w:footnote w:id="20">
    <w:p w14:paraId="1653C2E8" w14:textId="77777777" w:rsidR="004A5E4F" w:rsidRDefault="004A5E4F" w:rsidP="004A5E4F">
      <w:pPr>
        <w:rPr>
          <w:rFonts w:asciiTheme="majorBidi" w:hAnsiTheme="majorBidi" w:cstheme="majorBidi"/>
          <w:sz w:val="20"/>
          <w:szCs w:val="20"/>
          <w:rtl/>
        </w:rPr>
      </w:pPr>
      <w:r>
        <w:rPr>
          <w:rStyle w:val="a6"/>
          <w:rFonts w:asciiTheme="majorBidi" w:hAnsiTheme="majorBidi" w:cstheme="majorBidi"/>
        </w:rPr>
        <w:footnoteRef/>
      </w:r>
      <w:r>
        <w:rPr>
          <w:rFonts w:asciiTheme="majorBidi" w:hAnsiTheme="majorBidi" w:cstheme="majorBidi"/>
          <w:sz w:val="20"/>
          <w:szCs w:val="20"/>
          <w:rtl/>
        </w:rPr>
        <w:t xml:space="preserve"> </w:t>
      </w:r>
      <w:r>
        <w:rPr>
          <w:rFonts w:asciiTheme="majorBidi" w:hAnsiTheme="majorBidi" w:cstheme="majorBidi"/>
          <w:sz w:val="20"/>
          <w:szCs w:val="20"/>
          <w:rtl/>
        </w:rPr>
        <w:t xml:space="preserve">רמב"ם הלכות </w:t>
      </w:r>
      <w:proofErr w:type="spellStart"/>
      <w:r>
        <w:rPr>
          <w:rFonts w:asciiTheme="majorBidi" w:hAnsiTheme="majorBidi" w:cstheme="majorBidi"/>
          <w:sz w:val="20"/>
          <w:szCs w:val="20"/>
          <w:rtl/>
        </w:rPr>
        <w:t>מלוה</w:t>
      </w:r>
      <w:proofErr w:type="spellEnd"/>
      <w:r>
        <w:rPr>
          <w:rFonts w:asciiTheme="majorBidi" w:hAnsiTheme="majorBidi" w:cstheme="majorBidi"/>
          <w:sz w:val="20"/>
          <w:szCs w:val="20"/>
          <w:rtl/>
        </w:rPr>
        <w:t xml:space="preserve"> </w:t>
      </w:r>
      <w:proofErr w:type="spellStart"/>
      <w:r>
        <w:rPr>
          <w:rFonts w:asciiTheme="majorBidi" w:hAnsiTheme="majorBidi" w:cstheme="majorBidi"/>
          <w:sz w:val="20"/>
          <w:szCs w:val="20"/>
          <w:rtl/>
        </w:rPr>
        <w:t>ולוה</w:t>
      </w:r>
      <w:proofErr w:type="spellEnd"/>
      <w:r>
        <w:rPr>
          <w:rFonts w:asciiTheme="majorBidi" w:hAnsiTheme="majorBidi" w:cstheme="majorBidi"/>
          <w:sz w:val="20"/>
          <w:szCs w:val="20"/>
          <w:rtl/>
        </w:rPr>
        <w:t xml:space="preserve"> פרק כ הלכה א.</w:t>
      </w:r>
    </w:p>
  </w:footnote>
  <w:footnote w:id="21">
    <w:p w14:paraId="2668FC40" w14:textId="77777777" w:rsidR="004A5E4F" w:rsidRDefault="004A5E4F" w:rsidP="004A5E4F">
      <w:pPr>
        <w:pStyle w:val="a4"/>
        <w:spacing w:line="360" w:lineRule="auto"/>
        <w:rPr>
          <w:rFonts w:asciiTheme="majorBidi" w:hAnsiTheme="majorBidi" w:cstheme="majorBidi"/>
        </w:rPr>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hint="cs"/>
          <w:rtl/>
        </w:rPr>
        <w:t xml:space="preserve">רמב"ם הלכות ערכין </w:t>
      </w:r>
      <w:proofErr w:type="spellStart"/>
      <w:r>
        <w:rPr>
          <w:rFonts w:asciiTheme="majorBidi" w:hAnsiTheme="majorBidi" w:cstheme="majorBidi" w:hint="cs"/>
          <w:rtl/>
        </w:rPr>
        <w:t>וחרמין</w:t>
      </w:r>
      <w:proofErr w:type="spellEnd"/>
      <w:r>
        <w:rPr>
          <w:rFonts w:asciiTheme="majorBidi" w:hAnsiTheme="majorBidi" w:cstheme="majorBidi" w:hint="cs"/>
          <w:rtl/>
        </w:rPr>
        <w:t xml:space="preserve"> פרק ג הלכה יא.</w:t>
      </w:r>
    </w:p>
  </w:footnote>
  <w:footnote w:id="22">
    <w:p w14:paraId="24A1DF0B" w14:textId="77777777" w:rsidR="004A5E4F" w:rsidRDefault="004A5E4F" w:rsidP="004A5E4F">
      <w:pPr>
        <w:rPr>
          <w:rFonts w:asciiTheme="majorBidi" w:hAnsiTheme="majorBidi" w:cstheme="majorBidi"/>
          <w:sz w:val="20"/>
          <w:szCs w:val="20"/>
          <w:rtl/>
        </w:rPr>
      </w:pPr>
      <w:r>
        <w:rPr>
          <w:rStyle w:val="a6"/>
          <w:rFonts w:asciiTheme="majorBidi" w:hAnsiTheme="majorBidi" w:cstheme="majorBidi"/>
        </w:rPr>
        <w:footnoteRef/>
      </w:r>
      <w:r>
        <w:rPr>
          <w:rFonts w:asciiTheme="majorBidi" w:hAnsiTheme="majorBidi" w:cstheme="majorBidi"/>
          <w:sz w:val="20"/>
          <w:szCs w:val="20"/>
          <w:rtl/>
        </w:rPr>
        <w:t xml:space="preserve"> </w:t>
      </w:r>
      <w:r>
        <w:rPr>
          <w:rFonts w:asciiTheme="majorBidi" w:hAnsiTheme="majorBidi" w:cstheme="majorBidi"/>
          <w:sz w:val="20"/>
          <w:szCs w:val="20"/>
          <w:rtl/>
        </w:rPr>
        <w:t xml:space="preserve">לחם משנה הלכות ערכין </w:t>
      </w:r>
      <w:proofErr w:type="spellStart"/>
      <w:r>
        <w:rPr>
          <w:rFonts w:asciiTheme="majorBidi" w:hAnsiTheme="majorBidi" w:cstheme="majorBidi"/>
          <w:sz w:val="20"/>
          <w:szCs w:val="20"/>
          <w:rtl/>
        </w:rPr>
        <w:t>וחרמין</w:t>
      </w:r>
      <w:proofErr w:type="spellEnd"/>
      <w:r>
        <w:rPr>
          <w:rFonts w:asciiTheme="majorBidi" w:hAnsiTheme="majorBidi" w:cstheme="majorBidi"/>
          <w:sz w:val="20"/>
          <w:szCs w:val="20"/>
          <w:rtl/>
        </w:rPr>
        <w:t xml:space="preserve"> פרק ג הלכה יא. באתר 'הכי </w:t>
      </w:r>
      <w:proofErr w:type="spellStart"/>
      <w:r>
        <w:rPr>
          <w:rFonts w:asciiTheme="majorBidi" w:hAnsiTheme="majorBidi" w:cstheme="majorBidi"/>
          <w:sz w:val="20"/>
          <w:szCs w:val="20"/>
          <w:rtl/>
        </w:rPr>
        <w:t>גרסינן</w:t>
      </w:r>
      <w:proofErr w:type="spellEnd"/>
      <w:r>
        <w:rPr>
          <w:rFonts w:asciiTheme="majorBidi" w:hAnsiTheme="majorBidi" w:cstheme="majorBidi"/>
          <w:sz w:val="20"/>
          <w:szCs w:val="20"/>
          <w:rtl/>
        </w:rPr>
        <w:t>' לא מצאתי גרסה כזו.</w:t>
      </w:r>
    </w:p>
  </w:footnote>
  <w:footnote w:id="23">
    <w:p w14:paraId="70F680E2" w14:textId="77777777" w:rsidR="004A5E4F" w:rsidRDefault="004A5E4F" w:rsidP="004A5E4F">
      <w:pPr>
        <w:pStyle w:val="a4"/>
        <w:spacing w:line="360" w:lineRule="auto"/>
        <w:rPr>
          <w:rFonts w:asciiTheme="majorBidi" w:hAnsiTheme="majorBidi" w:cstheme="majorBidi"/>
          <w:rtl/>
        </w:rPr>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rtl/>
        </w:rPr>
        <w:t xml:space="preserve">קצות החושן סימן פג </w:t>
      </w:r>
      <w:proofErr w:type="spellStart"/>
      <w:r>
        <w:rPr>
          <w:rFonts w:asciiTheme="majorBidi" w:hAnsiTheme="majorBidi" w:cstheme="majorBidi"/>
          <w:rtl/>
        </w:rPr>
        <w:t>ס"ק</w:t>
      </w:r>
      <w:proofErr w:type="spellEnd"/>
      <w:r>
        <w:rPr>
          <w:rFonts w:asciiTheme="majorBidi" w:hAnsiTheme="majorBidi" w:cstheme="majorBidi"/>
          <w:rtl/>
        </w:rPr>
        <w:t xml:space="preserve"> א להסבר זה.</w:t>
      </w:r>
    </w:p>
  </w:footnote>
  <w:footnote w:id="24">
    <w:p w14:paraId="3BBB60C7" w14:textId="77777777" w:rsidR="004A5E4F" w:rsidRDefault="004A5E4F" w:rsidP="004A5E4F">
      <w:pPr>
        <w:pStyle w:val="a4"/>
        <w:spacing w:line="360" w:lineRule="auto"/>
        <w:rPr>
          <w:rFonts w:asciiTheme="majorBidi" w:hAnsiTheme="majorBidi" w:cstheme="majorBidi"/>
        </w:rPr>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rtl/>
        </w:rPr>
        <w:t xml:space="preserve">כן כתב גם </w:t>
      </w:r>
      <w:proofErr w:type="spellStart"/>
      <w:r>
        <w:rPr>
          <w:rFonts w:asciiTheme="majorBidi" w:hAnsiTheme="majorBidi" w:cstheme="majorBidi"/>
          <w:rtl/>
        </w:rPr>
        <w:t>הגרי"ז</w:t>
      </w:r>
      <w:proofErr w:type="spellEnd"/>
      <w:r>
        <w:rPr>
          <w:rFonts w:asciiTheme="majorBidi" w:hAnsiTheme="majorBidi" w:cstheme="majorBidi"/>
          <w:rtl/>
        </w:rPr>
        <w:t xml:space="preserve"> בחידושיו כאן.</w:t>
      </w:r>
    </w:p>
  </w:footnote>
  <w:footnote w:id="25">
    <w:p w14:paraId="1E7C83BE" w14:textId="77777777" w:rsidR="004A5E4F" w:rsidRDefault="004A5E4F" w:rsidP="004A5E4F">
      <w:pPr>
        <w:pStyle w:val="a4"/>
        <w:spacing w:line="360" w:lineRule="auto"/>
        <w:rPr>
          <w:rFonts w:asciiTheme="majorBidi" w:hAnsiTheme="majorBidi" w:cstheme="majorBidi"/>
        </w:rPr>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hint="cs"/>
          <w:rtl/>
        </w:rPr>
        <w:t xml:space="preserve">פג </w:t>
      </w:r>
      <w:proofErr w:type="spellStart"/>
      <w:r>
        <w:rPr>
          <w:rFonts w:asciiTheme="majorBidi" w:hAnsiTheme="majorBidi" w:cstheme="majorBidi" w:hint="cs"/>
          <w:rtl/>
        </w:rPr>
        <w:t>ס"ק</w:t>
      </w:r>
      <w:proofErr w:type="spellEnd"/>
      <w:r>
        <w:rPr>
          <w:rFonts w:asciiTheme="majorBidi" w:hAnsiTheme="majorBidi" w:cstheme="majorBidi" w:hint="cs"/>
          <w:rtl/>
        </w:rPr>
        <w:t xml:space="preserve"> א.</w:t>
      </w:r>
    </w:p>
  </w:footnote>
  <w:footnote w:id="26">
    <w:p w14:paraId="29D6D482" w14:textId="77777777" w:rsidR="004A5E4F" w:rsidRDefault="004A5E4F" w:rsidP="004A5E4F">
      <w:pPr>
        <w:pStyle w:val="a4"/>
        <w:spacing w:line="360" w:lineRule="auto"/>
        <w:rPr>
          <w:rFonts w:asciiTheme="majorBidi" w:hAnsiTheme="majorBidi" w:cstheme="majorBidi"/>
          <w:rtl/>
        </w:rPr>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imes New Roman"/>
          <w:rtl/>
        </w:rPr>
        <w:t xml:space="preserve">קצות החושן, </w:t>
      </w:r>
      <w:r>
        <w:rPr>
          <w:rFonts w:asciiTheme="majorBidi" w:hAnsiTheme="majorBidi" w:cstheme="majorBidi"/>
          <w:rtl/>
        </w:rPr>
        <w:t>שם בתחילת דבריו.</w:t>
      </w:r>
    </w:p>
  </w:footnote>
  <w:footnote w:id="27">
    <w:p w14:paraId="31A359D1" w14:textId="77777777" w:rsidR="004A5E4F" w:rsidRDefault="004A5E4F" w:rsidP="004A5E4F">
      <w:pPr>
        <w:pStyle w:val="a4"/>
        <w:rPr>
          <w:rFonts w:asciiTheme="majorBidi" w:hAnsiTheme="majorBidi" w:cstheme="majorBidi"/>
        </w:rPr>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rtl/>
        </w:rPr>
        <w:t>בקצות החושן דן כגון שיש ערב לחוב השני, ולפיכך המלווה להוט לגבות עבור הראשון דווקא, ואז יוכל לגבות גם את השני מן הערב.</w:t>
      </w:r>
    </w:p>
  </w:footnote>
  <w:footnote w:id="28">
    <w:p w14:paraId="62B9718D" w14:textId="77777777" w:rsidR="004A5E4F" w:rsidRDefault="004A5E4F" w:rsidP="004A5E4F">
      <w:pPr>
        <w:pStyle w:val="a4"/>
        <w:spacing w:line="360" w:lineRule="auto"/>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rtl/>
        </w:rPr>
        <w:t>הרב בינה.</w:t>
      </w:r>
    </w:p>
  </w:footnote>
  <w:footnote w:id="29">
    <w:p w14:paraId="7F462B20" w14:textId="77777777" w:rsidR="004A5E4F" w:rsidRDefault="004A5E4F" w:rsidP="004A5E4F">
      <w:pPr>
        <w:pStyle w:val="a4"/>
        <w:rPr>
          <w:rFonts w:asciiTheme="majorBidi" w:hAnsiTheme="majorBidi" w:cstheme="majorBidi"/>
        </w:rPr>
      </w:pPr>
      <w:r>
        <w:rPr>
          <w:rStyle w:val="a6"/>
        </w:rPr>
        <w:footnoteRef/>
      </w:r>
      <w:r>
        <w:rPr>
          <w:rtl/>
        </w:rPr>
        <w:t xml:space="preserve"> </w:t>
      </w:r>
      <w:r>
        <w:rPr>
          <w:rFonts w:asciiTheme="majorBidi" w:hAnsiTheme="majorBidi" w:cstheme="majorBidi"/>
          <w:rtl/>
        </w:rPr>
        <w:t>בקצות החושן עצמו מעיר שלפי שני טעמי התוספות, המייחדים דין זה למטלטלים או למלווה על פה,</w:t>
      </w:r>
      <w:r>
        <w:rPr>
          <w:rtl/>
        </w:rPr>
        <w:t xml:space="preserve"> </w:t>
      </w:r>
      <w:r>
        <w:rPr>
          <w:rFonts w:cs="David"/>
          <w:rtl/>
        </w:rPr>
        <w:t>"</w:t>
      </w:r>
      <w:r>
        <w:rPr>
          <w:rFonts w:ascii="Arial" w:hAnsi="Arial" w:cs="David"/>
          <w:color w:val="222222"/>
          <w:rtl/>
        </w:rPr>
        <w:t xml:space="preserve">אין לחלק בין </w:t>
      </w:r>
      <w:proofErr w:type="spellStart"/>
      <w:r>
        <w:rPr>
          <w:rFonts w:ascii="Arial" w:hAnsi="Arial" w:cs="David"/>
          <w:color w:val="222222"/>
          <w:rtl/>
        </w:rPr>
        <w:t>היכא</w:t>
      </w:r>
      <w:proofErr w:type="spellEnd"/>
      <w:r>
        <w:rPr>
          <w:rFonts w:ascii="Arial" w:hAnsi="Arial" w:cs="David"/>
          <w:color w:val="222222"/>
          <w:rtl/>
        </w:rPr>
        <w:t xml:space="preserve"> </w:t>
      </w:r>
      <w:proofErr w:type="spellStart"/>
      <w:r>
        <w:rPr>
          <w:rFonts w:ascii="Arial" w:hAnsi="Arial" w:cs="David"/>
          <w:color w:val="222222"/>
          <w:rtl/>
        </w:rPr>
        <w:t>דהכל</w:t>
      </w:r>
      <w:proofErr w:type="spellEnd"/>
      <w:r>
        <w:rPr>
          <w:rFonts w:ascii="Arial" w:hAnsi="Arial" w:cs="David"/>
          <w:color w:val="222222"/>
          <w:rtl/>
        </w:rPr>
        <w:t xml:space="preserve"> לעצמו או לא".</w:t>
      </w:r>
      <w:r>
        <w:rPr>
          <w:rFonts w:cs="David"/>
          <w:rtl/>
        </w:rPr>
        <w:t xml:space="preserve"> </w:t>
      </w:r>
      <w:r>
        <w:rPr>
          <w:rFonts w:asciiTheme="majorBidi" w:hAnsiTheme="majorBidi" w:cstheme="majorBidi"/>
          <w:rtl/>
        </w:rPr>
        <w:t>הרב בינה מקשה גם לפי הנימוק השלישי.</w:t>
      </w:r>
    </w:p>
  </w:footnote>
  <w:footnote w:id="30">
    <w:p w14:paraId="41F162F6" w14:textId="77777777" w:rsidR="004A5E4F" w:rsidRDefault="004A5E4F" w:rsidP="004A5E4F">
      <w:pPr>
        <w:rPr>
          <w:rFonts w:asciiTheme="majorBidi" w:hAnsiTheme="majorBidi" w:cstheme="majorBidi"/>
          <w:sz w:val="20"/>
          <w:szCs w:val="20"/>
        </w:rPr>
      </w:pPr>
      <w:r>
        <w:rPr>
          <w:rStyle w:val="a6"/>
          <w:rFonts w:asciiTheme="majorBidi" w:hAnsiTheme="majorBidi" w:cstheme="majorBidi"/>
        </w:rPr>
        <w:footnoteRef/>
      </w:r>
      <w:r>
        <w:rPr>
          <w:rFonts w:asciiTheme="majorBidi" w:hAnsiTheme="majorBidi" w:cstheme="majorBidi"/>
          <w:sz w:val="20"/>
          <w:szCs w:val="20"/>
          <w:rtl/>
        </w:rPr>
        <w:t xml:space="preserve"> </w:t>
      </w:r>
      <w:r>
        <w:rPr>
          <w:rFonts w:asciiTheme="majorBidi" w:hAnsiTheme="majorBidi" w:cstheme="majorBidi"/>
          <w:sz w:val="20"/>
          <w:szCs w:val="20"/>
          <w:rtl/>
        </w:rPr>
        <w:t xml:space="preserve">תוספות ז, ב ד"ה בעידנא </w:t>
      </w:r>
      <w:proofErr w:type="spellStart"/>
      <w:r>
        <w:rPr>
          <w:rFonts w:asciiTheme="majorBidi" w:hAnsiTheme="majorBidi" w:cstheme="majorBidi"/>
          <w:sz w:val="20"/>
          <w:szCs w:val="20"/>
          <w:rtl/>
        </w:rPr>
        <w:t>דיהיב</w:t>
      </w:r>
      <w:proofErr w:type="spellEnd"/>
      <w:r>
        <w:rPr>
          <w:rFonts w:asciiTheme="majorBidi" w:hAnsiTheme="majorBidi" w:cstheme="majorBidi"/>
          <w:sz w:val="20"/>
          <w:szCs w:val="20"/>
          <w:rtl/>
        </w:rPr>
        <w:t xml:space="preserve"> לראשון לית ליה. </w:t>
      </w:r>
    </w:p>
  </w:footnote>
  <w:footnote w:id="31">
    <w:p w14:paraId="646E466A" w14:textId="77777777" w:rsidR="004A5E4F" w:rsidRDefault="004A5E4F" w:rsidP="004A5E4F">
      <w:pPr>
        <w:pStyle w:val="a4"/>
        <w:spacing w:line="360" w:lineRule="auto"/>
        <w:rPr>
          <w:rFonts w:asciiTheme="majorBidi" w:hAnsiTheme="majorBidi" w:cstheme="majorBidi"/>
        </w:rPr>
      </w:pPr>
      <w:r>
        <w:rPr>
          <w:rStyle w:val="a6"/>
          <w:rFonts w:ascii="David" w:hAnsi="David" w:cs="David"/>
        </w:rPr>
        <w:footnoteRef/>
      </w:r>
      <w:r>
        <w:rPr>
          <w:rFonts w:ascii="David" w:hAnsi="David" w:cs="David"/>
          <w:rtl/>
        </w:rPr>
        <w:t xml:space="preserve"> </w:t>
      </w:r>
      <w:r>
        <w:rPr>
          <w:rFonts w:ascii="David" w:hAnsi="David" w:cs="David"/>
          <w:rtl/>
        </w:rPr>
        <w:t xml:space="preserve">"וכן אין לומר דהוי הפירוש מטעם </w:t>
      </w:r>
      <w:proofErr w:type="spellStart"/>
      <w:r>
        <w:rPr>
          <w:rFonts w:ascii="David" w:hAnsi="David" w:cs="David"/>
          <w:rtl/>
        </w:rPr>
        <w:t>דמפקיע</w:t>
      </w:r>
      <w:proofErr w:type="spellEnd"/>
      <w:r>
        <w:rPr>
          <w:rFonts w:ascii="David" w:hAnsi="David" w:cs="David"/>
          <w:rtl/>
        </w:rPr>
        <w:t xml:space="preserve"> מדי שעבוד כמו שפירש הקצות... </w:t>
      </w:r>
      <w:proofErr w:type="spellStart"/>
      <w:r>
        <w:rPr>
          <w:rFonts w:ascii="David" w:hAnsi="David" w:cs="David"/>
          <w:rtl/>
        </w:rPr>
        <w:t>דהרשב"א</w:t>
      </w:r>
      <w:proofErr w:type="spellEnd"/>
      <w:r>
        <w:rPr>
          <w:rFonts w:ascii="David" w:hAnsi="David" w:cs="David"/>
          <w:rtl/>
        </w:rPr>
        <w:t xml:space="preserve"> חולק על הרמב"ם בזה, ואפילו הסכים לזה התירוץ"</w:t>
      </w:r>
      <w:r>
        <w:rPr>
          <w:rFonts w:asciiTheme="majorBidi" w:hAnsiTheme="majorBidi" w:cstheme="majorBidi"/>
          <w:rtl/>
        </w:rPr>
        <w:t xml:space="preserve"> (הרב בינה עמ' </w:t>
      </w:r>
      <w:proofErr w:type="spellStart"/>
      <w:r>
        <w:rPr>
          <w:rFonts w:asciiTheme="majorBidi" w:hAnsiTheme="majorBidi" w:cstheme="majorBidi"/>
          <w:rtl/>
        </w:rPr>
        <w:t>עה-עו</w:t>
      </w:r>
      <w:proofErr w:type="spellEnd"/>
      <w:r>
        <w:rPr>
          <w:rFonts w:asciiTheme="majorBidi" w:hAnsiTheme="majorBidi" w:cstheme="majorBidi"/>
          <w:rtl/>
        </w:rPr>
        <w:t>).</w:t>
      </w:r>
    </w:p>
  </w:footnote>
  <w:footnote w:id="32">
    <w:p w14:paraId="7590428C" w14:textId="77777777" w:rsidR="004A5E4F" w:rsidRDefault="004A5E4F" w:rsidP="004A5E4F">
      <w:pPr>
        <w:rPr>
          <w:rFonts w:asciiTheme="majorBidi" w:hAnsiTheme="majorBidi" w:cstheme="majorBidi"/>
          <w:sz w:val="20"/>
          <w:szCs w:val="20"/>
          <w:rtl/>
        </w:rPr>
      </w:pPr>
      <w:r>
        <w:rPr>
          <w:rStyle w:val="a6"/>
          <w:rFonts w:asciiTheme="majorBidi" w:hAnsiTheme="majorBidi" w:cstheme="majorBidi"/>
        </w:rPr>
        <w:footnoteRef/>
      </w:r>
      <w:r>
        <w:rPr>
          <w:rFonts w:asciiTheme="majorBidi" w:hAnsiTheme="majorBidi" w:cstheme="majorBidi"/>
          <w:sz w:val="20"/>
          <w:szCs w:val="20"/>
          <w:rtl/>
        </w:rPr>
        <w:t xml:space="preserve"> </w:t>
      </w:r>
      <w:r>
        <w:rPr>
          <w:rFonts w:asciiTheme="majorBidi" w:hAnsiTheme="majorBidi" w:cstheme="majorBidi"/>
          <w:sz w:val="20"/>
          <w:szCs w:val="20"/>
          <w:rtl/>
        </w:rPr>
        <w:t>לגבי זמן חלות החוב:</w:t>
      </w:r>
    </w:p>
    <w:p w14:paraId="3A55E03B" w14:textId="77777777" w:rsidR="004A5E4F" w:rsidRDefault="004A5E4F" w:rsidP="004A5E4F">
      <w:pPr>
        <w:spacing w:line="240" w:lineRule="auto"/>
        <w:rPr>
          <w:rFonts w:asciiTheme="majorBidi" w:hAnsiTheme="majorBidi" w:cstheme="majorBidi"/>
          <w:rtl/>
        </w:rPr>
      </w:pPr>
      <w:r>
        <w:rPr>
          <w:rFonts w:asciiTheme="majorBidi" w:hAnsiTheme="majorBidi" w:cs="David"/>
          <w:sz w:val="20"/>
          <w:szCs w:val="20"/>
          <w:rtl/>
        </w:rPr>
        <w:t xml:space="preserve">"מכאן ק"ל </w:t>
      </w:r>
      <w:proofErr w:type="spellStart"/>
      <w:r>
        <w:rPr>
          <w:rFonts w:asciiTheme="majorBidi" w:hAnsiTheme="majorBidi" w:cs="David"/>
          <w:sz w:val="20"/>
          <w:szCs w:val="20"/>
          <w:rtl/>
        </w:rPr>
        <w:t>עמ"ש</w:t>
      </w:r>
      <w:proofErr w:type="spellEnd"/>
      <w:r>
        <w:rPr>
          <w:rFonts w:asciiTheme="majorBidi" w:hAnsiTheme="majorBidi" w:cs="David"/>
          <w:sz w:val="20"/>
          <w:szCs w:val="20"/>
          <w:rtl/>
        </w:rPr>
        <w:t xml:space="preserve"> התוספות לעיל </w:t>
      </w:r>
      <w:proofErr w:type="spellStart"/>
      <w:r>
        <w:rPr>
          <w:rFonts w:asciiTheme="majorBidi" w:hAnsiTheme="majorBidi" w:cs="David"/>
          <w:sz w:val="20"/>
          <w:szCs w:val="20"/>
          <w:rtl/>
        </w:rPr>
        <w:t>ד"ו</w:t>
      </w:r>
      <w:proofErr w:type="spellEnd"/>
      <w:r>
        <w:rPr>
          <w:rFonts w:asciiTheme="majorBidi" w:hAnsiTheme="majorBidi" w:cs="David"/>
          <w:sz w:val="20"/>
          <w:szCs w:val="20"/>
          <w:rtl/>
        </w:rPr>
        <w:t xml:space="preserve"> ע"ב ד"ה כי פליגי </w:t>
      </w:r>
      <w:proofErr w:type="spellStart"/>
      <w:r>
        <w:rPr>
          <w:rFonts w:asciiTheme="majorBidi" w:hAnsiTheme="majorBidi" w:cs="David"/>
          <w:b/>
          <w:bCs/>
          <w:sz w:val="20"/>
          <w:szCs w:val="20"/>
          <w:rtl/>
        </w:rPr>
        <w:t>דבערכין</w:t>
      </w:r>
      <w:proofErr w:type="spellEnd"/>
      <w:r>
        <w:rPr>
          <w:rFonts w:asciiTheme="majorBidi" w:hAnsiTheme="majorBidi" w:cs="David"/>
          <w:b/>
          <w:bCs/>
          <w:sz w:val="20"/>
          <w:szCs w:val="20"/>
          <w:rtl/>
        </w:rPr>
        <w:t xml:space="preserve"> חל מיד כמו הקדש </w:t>
      </w:r>
      <w:r>
        <w:rPr>
          <w:rFonts w:asciiTheme="majorBidi" w:hAnsiTheme="majorBidi" w:cs="David"/>
          <w:sz w:val="20"/>
          <w:szCs w:val="20"/>
          <w:rtl/>
        </w:rPr>
        <w:t xml:space="preserve">ע"ש </w:t>
      </w:r>
      <w:proofErr w:type="spellStart"/>
      <w:r>
        <w:rPr>
          <w:rFonts w:asciiTheme="majorBidi" w:hAnsiTheme="majorBidi" w:cs="David"/>
          <w:sz w:val="20"/>
          <w:szCs w:val="20"/>
          <w:rtl/>
        </w:rPr>
        <w:t>דא"כ</w:t>
      </w:r>
      <w:proofErr w:type="spellEnd"/>
      <w:r>
        <w:rPr>
          <w:rFonts w:asciiTheme="majorBidi" w:hAnsiTheme="majorBidi" w:cs="David"/>
          <w:sz w:val="20"/>
          <w:szCs w:val="20"/>
          <w:rtl/>
        </w:rPr>
        <w:t xml:space="preserve"> משעת הערכה ראשונה כבר יצאו הכנסים מרשותו ואיך יצא ידי שניה בנכסים שאינן שלו.. </w:t>
      </w:r>
      <w:proofErr w:type="spellStart"/>
      <w:r>
        <w:rPr>
          <w:rFonts w:asciiTheme="majorBidi" w:hAnsiTheme="majorBidi" w:cs="David"/>
          <w:sz w:val="20"/>
          <w:szCs w:val="20"/>
          <w:rtl/>
        </w:rPr>
        <w:t>ולפמ"ש</w:t>
      </w:r>
      <w:proofErr w:type="spellEnd"/>
      <w:r>
        <w:rPr>
          <w:rFonts w:asciiTheme="majorBidi" w:hAnsiTheme="majorBidi" w:cs="David"/>
          <w:sz w:val="20"/>
          <w:szCs w:val="20"/>
          <w:rtl/>
        </w:rPr>
        <w:t xml:space="preserve"> </w:t>
      </w:r>
      <w:proofErr w:type="spellStart"/>
      <w:r>
        <w:rPr>
          <w:rFonts w:asciiTheme="majorBidi" w:hAnsiTheme="majorBidi" w:cs="David"/>
          <w:sz w:val="20"/>
          <w:szCs w:val="20"/>
          <w:rtl/>
        </w:rPr>
        <w:t>הח"ן</w:t>
      </w:r>
      <w:proofErr w:type="spellEnd"/>
      <w:r>
        <w:rPr>
          <w:rFonts w:asciiTheme="majorBidi" w:hAnsiTheme="majorBidi" w:cs="David"/>
          <w:sz w:val="20"/>
          <w:szCs w:val="20"/>
          <w:rtl/>
        </w:rPr>
        <w:t xml:space="preserve"> לעיל </w:t>
      </w:r>
      <w:proofErr w:type="spellStart"/>
      <w:r>
        <w:rPr>
          <w:rFonts w:asciiTheme="majorBidi" w:hAnsiTheme="majorBidi" w:cs="David"/>
          <w:b/>
          <w:bCs/>
          <w:sz w:val="20"/>
          <w:szCs w:val="20"/>
          <w:rtl/>
        </w:rPr>
        <w:t>דדוקא</w:t>
      </w:r>
      <w:proofErr w:type="spellEnd"/>
      <w:r>
        <w:rPr>
          <w:rFonts w:asciiTheme="majorBidi" w:hAnsiTheme="majorBidi" w:cs="David"/>
          <w:b/>
          <w:bCs/>
          <w:sz w:val="20"/>
          <w:szCs w:val="20"/>
          <w:rtl/>
        </w:rPr>
        <w:t xml:space="preserve"> אחר הערכה</w:t>
      </w:r>
      <w:r>
        <w:rPr>
          <w:rFonts w:asciiTheme="majorBidi" w:hAnsiTheme="majorBidi" w:cs="David"/>
          <w:sz w:val="20"/>
          <w:szCs w:val="20"/>
          <w:rtl/>
        </w:rPr>
        <w:t xml:space="preserve"> הוא </w:t>
      </w:r>
      <w:proofErr w:type="spellStart"/>
      <w:r>
        <w:rPr>
          <w:rFonts w:asciiTheme="majorBidi" w:hAnsiTheme="majorBidi" w:cs="David"/>
          <w:sz w:val="20"/>
          <w:szCs w:val="20"/>
          <w:rtl/>
        </w:rPr>
        <w:t>דחל</w:t>
      </w:r>
      <w:proofErr w:type="spellEnd"/>
      <w:r>
        <w:rPr>
          <w:rFonts w:asciiTheme="majorBidi" w:hAnsiTheme="majorBidi" w:cs="David"/>
          <w:sz w:val="20"/>
          <w:szCs w:val="20"/>
          <w:rtl/>
        </w:rPr>
        <w:t xml:space="preserve"> מיד ניחא שפיר אך </w:t>
      </w:r>
      <w:proofErr w:type="spellStart"/>
      <w:r>
        <w:rPr>
          <w:rFonts w:asciiTheme="majorBidi" w:hAnsiTheme="majorBidi" w:cs="David"/>
          <w:sz w:val="20"/>
          <w:szCs w:val="20"/>
          <w:rtl/>
        </w:rPr>
        <w:t>אכתי</w:t>
      </w:r>
      <w:proofErr w:type="spellEnd"/>
      <w:r>
        <w:rPr>
          <w:rFonts w:asciiTheme="majorBidi" w:hAnsiTheme="majorBidi" w:cs="David"/>
          <w:sz w:val="20"/>
          <w:szCs w:val="20"/>
          <w:rtl/>
        </w:rPr>
        <w:t xml:space="preserve"> ק' בנתן ד' לראשונה ואחת לשנייה </w:t>
      </w:r>
      <w:proofErr w:type="spellStart"/>
      <w:r>
        <w:rPr>
          <w:rFonts w:asciiTheme="majorBidi" w:hAnsiTheme="majorBidi" w:cs="David"/>
          <w:sz w:val="20"/>
          <w:szCs w:val="20"/>
          <w:rtl/>
        </w:rPr>
        <w:t>אמאי</w:t>
      </w:r>
      <w:proofErr w:type="spellEnd"/>
      <w:r>
        <w:rPr>
          <w:rFonts w:asciiTheme="majorBidi" w:hAnsiTheme="majorBidi" w:cs="David"/>
          <w:sz w:val="20"/>
          <w:szCs w:val="20"/>
          <w:rtl/>
        </w:rPr>
        <w:t xml:space="preserve"> יצא ידי שנייה כיון שכבר העריכו לראשונה כבר יצאו הנכסים מרשותו ואין בנתינתו לשנייה כלום ואין לו' </w:t>
      </w:r>
      <w:proofErr w:type="spellStart"/>
      <w:r>
        <w:rPr>
          <w:rFonts w:asciiTheme="majorBidi" w:hAnsiTheme="majorBidi" w:cs="David"/>
          <w:sz w:val="20"/>
          <w:szCs w:val="20"/>
          <w:rtl/>
        </w:rPr>
        <w:t>דהכהן</w:t>
      </w:r>
      <w:proofErr w:type="spellEnd"/>
      <w:r>
        <w:rPr>
          <w:rFonts w:asciiTheme="majorBidi" w:hAnsiTheme="majorBidi" w:cs="David"/>
          <w:sz w:val="20"/>
          <w:szCs w:val="20"/>
          <w:rtl/>
        </w:rPr>
        <w:t xml:space="preserve"> העריכו לראשונה ד' </w:t>
      </w:r>
      <w:proofErr w:type="spellStart"/>
      <w:r>
        <w:rPr>
          <w:rFonts w:asciiTheme="majorBidi" w:hAnsiTheme="majorBidi" w:cs="David"/>
          <w:sz w:val="20"/>
          <w:szCs w:val="20"/>
          <w:rtl/>
        </w:rPr>
        <w:t>דהשת</w:t>
      </w:r>
      <w:proofErr w:type="spellEnd"/>
      <w:r>
        <w:rPr>
          <w:rFonts w:asciiTheme="majorBidi" w:hAnsiTheme="majorBidi" w:cs="David"/>
          <w:sz w:val="20"/>
          <w:szCs w:val="20"/>
          <w:rtl/>
        </w:rPr>
        <w:t xml:space="preserve">' הסלע החמישי עדיין ברשותו הא </w:t>
      </w:r>
      <w:proofErr w:type="spellStart"/>
      <w:r>
        <w:rPr>
          <w:rFonts w:asciiTheme="majorBidi" w:hAnsiTheme="majorBidi" w:cs="David"/>
          <w:sz w:val="20"/>
          <w:szCs w:val="20"/>
          <w:rtl/>
        </w:rPr>
        <w:t>ל"ל</w:t>
      </w:r>
      <w:proofErr w:type="spellEnd"/>
      <w:r>
        <w:rPr>
          <w:rFonts w:asciiTheme="majorBidi" w:hAnsiTheme="majorBidi" w:cs="David"/>
          <w:sz w:val="20"/>
          <w:szCs w:val="20"/>
          <w:rtl/>
        </w:rPr>
        <w:t xml:space="preserve"> </w:t>
      </w:r>
      <w:proofErr w:type="spellStart"/>
      <w:r>
        <w:rPr>
          <w:rFonts w:asciiTheme="majorBidi" w:hAnsiTheme="majorBidi" w:cs="David"/>
          <w:sz w:val="20"/>
          <w:szCs w:val="20"/>
          <w:rtl/>
        </w:rPr>
        <w:t>דהערכת</w:t>
      </w:r>
      <w:proofErr w:type="spellEnd"/>
      <w:r>
        <w:rPr>
          <w:rFonts w:asciiTheme="majorBidi" w:hAnsiTheme="majorBidi" w:cs="David"/>
          <w:sz w:val="20"/>
          <w:szCs w:val="20"/>
          <w:rtl/>
        </w:rPr>
        <w:t xml:space="preserve"> הכהן היא דאם אין לו שיעור הערך </w:t>
      </w:r>
      <w:proofErr w:type="spellStart"/>
      <w:r>
        <w:rPr>
          <w:rFonts w:asciiTheme="majorBidi" w:hAnsiTheme="majorBidi" w:cs="David"/>
          <w:sz w:val="20"/>
          <w:szCs w:val="20"/>
          <w:rtl/>
        </w:rPr>
        <w:t>שיתן</w:t>
      </w:r>
      <w:proofErr w:type="spellEnd"/>
      <w:r>
        <w:rPr>
          <w:rFonts w:asciiTheme="majorBidi" w:hAnsiTheme="majorBidi" w:cs="David"/>
          <w:sz w:val="20"/>
          <w:szCs w:val="20"/>
          <w:rtl/>
        </w:rPr>
        <w:t xml:space="preserve"> כל הנמצא בידו דמי הכניסו בסכום המעות </w:t>
      </w:r>
      <w:r>
        <w:rPr>
          <w:rFonts w:asciiTheme="majorBidi" w:hAnsiTheme="majorBidi" w:cs="David"/>
          <w:b/>
          <w:bCs/>
          <w:sz w:val="20"/>
          <w:szCs w:val="20"/>
          <w:rtl/>
        </w:rPr>
        <w:t xml:space="preserve">ונ"ל דלא כ"כ </w:t>
      </w:r>
      <w:proofErr w:type="spellStart"/>
      <w:r>
        <w:rPr>
          <w:rFonts w:asciiTheme="majorBidi" w:hAnsiTheme="majorBidi" w:cs="David"/>
          <w:b/>
          <w:bCs/>
          <w:sz w:val="20"/>
          <w:szCs w:val="20"/>
          <w:rtl/>
        </w:rPr>
        <w:t>התוס</w:t>
      </w:r>
      <w:proofErr w:type="spellEnd"/>
      <w:r>
        <w:rPr>
          <w:rFonts w:asciiTheme="majorBidi" w:hAnsiTheme="majorBidi" w:cs="David"/>
          <w:b/>
          <w:bCs/>
          <w:sz w:val="20"/>
          <w:szCs w:val="20"/>
          <w:rtl/>
        </w:rPr>
        <w:t xml:space="preserve">' </w:t>
      </w:r>
      <w:proofErr w:type="spellStart"/>
      <w:r>
        <w:rPr>
          <w:rFonts w:asciiTheme="majorBidi" w:hAnsiTheme="majorBidi" w:cs="David"/>
          <w:b/>
          <w:bCs/>
          <w:sz w:val="20"/>
          <w:szCs w:val="20"/>
          <w:rtl/>
        </w:rPr>
        <w:t>דחל</w:t>
      </w:r>
      <w:proofErr w:type="spellEnd"/>
      <w:r>
        <w:rPr>
          <w:rFonts w:asciiTheme="majorBidi" w:hAnsiTheme="majorBidi" w:cs="David"/>
          <w:b/>
          <w:bCs/>
          <w:sz w:val="20"/>
          <w:szCs w:val="20"/>
          <w:rtl/>
        </w:rPr>
        <w:t xml:space="preserve"> מיד אלא בקרקעות</w:t>
      </w:r>
      <w:r>
        <w:rPr>
          <w:rFonts w:asciiTheme="majorBidi" w:hAnsiTheme="majorBidi" w:cs="David"/>
          <w:sz w:val="20"/>
          <w:szCs w:val="20"/>
          <w:rtl/>
        </w:rPr>
        <w:t xml:space="preserve"> </w:t>
      </w:r>
      <w:proofErr w:type="spellStart"/>
      <w:r>
        <w:rPr>
          <w:rFonts w:asciiTheme="majorBidi" w:hAnsiTheme="majorBidi" w:cs="David"/>
          <w:sz w:val="20"/>
          <w:szCs w:val="20"/>
          <w:rtl/>
        </w:rPr>
        <w:t>דכיון</w:t>
      </w:r>
      <w:proofErr w:type="spellEnd"/>
      <w:r>
        <w:rPr>
          <w:rFonts w:asciiTheme="majorBidi" w:hAnsiTheme="majorBidi" w:cs="David"/>
          <w:sz w:val="20"/>
          <w:szCs w:val="20"/>
          <w:rtl/>
        </w:rPr>
        <w:t xml:space="preserve"> דלא מחסרי גוביינא משעה ראשונה כבר יצאו מרשותו אבל במטלטלי </w:t>
      </w:r>
      <w:proofErr w:type="spellStart"/>
      <w:r>
        <w:rPr>
          <w:rFonts w:asciiTheme="majorBidi" w:hAnsiTheme="majorBidi" w:cs="David"/>
          <w:sz w:val="20"/>
          <w:szCs w:val="20"/>
          <w:rtl/>
        </w:rPr>
        <w:t>דמחסרי</w:t>
      </w:r>
      <w:proofErr w:type="spellEnd"/>
      <w:r>
        <w:rPr>
          <w:rFonts w:asciiTheme="majorBidi" w:hAnsiTheme="majorBidi" w:cs="David"/>
          <w:sz w:val="20"/>
          <w:szCs w:val="20"/>
          <w:rtl/>
        </w:rPr>
        <w:t xml:space="preserve"> גוביינא לא חל מיד ועוד </w:t>
      </w:r>
      <w:proofErr w:type="spellStart"/>
      <w:r>
        <w:rPr>
          <w:rFonts w:asciiTheme="majorBidi" w:hAnsiTheme="majorBidi" w:cs="David"/>
          <w:sz w:val="20"/>
          <w:szCs w:val="20"/>
          <w:rtl/>
        </w:rPr>
        <w:t>י"ל</w:t>
      </w:r>
      <w:proofErr w:type="spellEnd"/>
      <w:r>
        <w:rPr>
          <w:rFonts w:asciiTheme="majorBidi" w:hAnsiTheme="majorBidi" w:cs="David"/>
          <w:sz w:val="20"/>
          <w:szCs w:val="20"/>
          <w:rtl/>
        </w:rPr>
        <w:t xml:space="preserve"> דלא כ"כ התוספות אלא בערך הקצוב </w:t>
      </w:r>
      <w:proofErr w:type="spellStart"/>
      <w:r>
        <w:rPr>
          <w:rFonts w:asciiTheme="majorBidi" w:hAnsiTheme="majorBidi" w:cs="David"/>
          <w:sz w:val="20"/>
          <w:szCs w:val="20"/>
          <w:rtl/>
        </w:rPr>
        <w:t>דכתיב</w:t>
      </w:r>
      <w:proofErr w:type="spellEnd"/>
      <w:r>
        <w:rPr>
          <w:rFonts w:asciiTheme="majorBidi" w:hAnsiTheme="majorBidi" w:cs="David"/>
          <w:sz w:val="20"/>
          <w:szCs w:val="20"/>
          <w:rtl/>
        </w:rPr>
        <w:t xml:space="preserve"> </w:t>
      </w:r>
      <w:proofErr w:type="spellStart"/>
      <w:r>
        <w:rPr>
          <w:rFonts w:asciiTheme="majorBidi" w:hAnsiTheme="majorBidi" w:cs="David"/>
          <w:sz w:val="20"/>
          <w:szCs w:val="20"/>
          <w:rtl/>
        </w:rPr>
        <w:t>בהדיא</w:t>
      </w:r>
      <w:proofErr w:type="spellEnd"/>
      <w:r>
        <w:rPr>
          <w:rFonts w:asciiTheme="majorBidi" w:hAnsiTheme="majorBidi" w:cs="David"/>
          <w:sz w:val="20"/>
          <w:szCs w:val="20"/>
          <w:rtl/>
        </w:rPr>
        <w:t xml:space="preserve"> אבל </w:t>
      </w:r>
      <w:proofErr w:type="spellStart"/>
      <w:r>
        <w:rPr>
          <w:rFonts w:asciiTheme="majorBidi" w:hAnsiTheme="majorBidi" w:cs="David"/>
          <w:b/>
          <w:bCs/>
          <w:sz w:val="20"/>
          <w:szCs w:val="20"/>
          <w:rtl/>
        </w:rPr>
        <w:t>בהשג</w:t>
      </w:r>
      <w:proofErr w:type="spellEnd"/>
      <w:r>
        <w:rPr>
          <w:rFonts w:asciiTheme="majorBidi" w:hAnsiTheme="majorBidi" w:cs="David"/>
          <w:b/>
          <w:bCs/>
          <w:sz w:val="20"/>
          <w:szCs w:val="20"/>
          <w:rtl/>
        </w:rPr>
        <w:t xml:space="preserve"> יד לא חל מיד"</w:t>
      </w:r>
      <w:r>
        <w:rPr>
          <w:rFonts w:asciiTheme="majorBidi" w:hAnsiTheme="majorBidi" w:cstheme="majorBidi"/>
          <w:sz w:val="20"/>
          <w:szCs w:val="20"/>
          <w:rtl/>
        </w:rPr>
        <w:t xml:space="preserve"> (משמרות כהונה ז, ב). גם החזון איש </w:t>
      </w:r>
      <w:proofErr w:type="spellStart"/>
      <w:r>
        <w:rPr>
          <w:rFonts w:asciiTheme="majorBidi" w:hAnsiTheme="majorBidi" w:cstheme="majorBidi"/>
          <w:sz w:val="20"/>
          <w:szCs w:val="20"/>
          <w:rtl/>
        </w:rPr>
        <w:t>והגרי"ז</w:t>
      </w:r>
      <w:proofErr w:type="spellEnd"/>
      <w:r>
        <w:rPr>
          <w:rFonts w:asciiTheme="majorBidi" w:hAnsiTheme="majorBidi" w:cstheme="majorBidi"/>
          <w:sz w:val="20"/>
          <w:szCs w:val="20"/>
          <w:rtl/>
        </w:rPr>
        <w:t xml:space="preserve"> האריכו בשאלה זו של זמן החיוב. </w:t>
      </w:r>
    </w:p>
  </w:footnote>
  <w:footnote w:id="33">
    <w:p w14:paraId="0B881C84" w14:textId="77777777" w:rsidR="004A5E4F" w:rsidRDefault="004A5E4F" w:rsidP="004A5E4F">
      <w:pPr>
        <w:pStyle w:val="a4"/>
        <w:spacing w:line="360" w:lineRule="auto"/>
        <w:rPr>
          <w:rFonts w:asciiTheme="majorBidi" w:hAnsiTheme="majorBidi" w:cstheme="majorBidi"/>
        </w:rPr>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rtl/>
        </w:rPr>
        <w:t xml:space="preserve">הרב בינה עמ' </w:t>
      </w:r>
      <w:proofErr w:type="spellStart"/>
      <w:r>
        <w:rPr>
          <w:rFonts w:asciiTheme="majorBidi" w:hAnsiTheme="majorBidi" w:cstheme="majorBidi"/>
          <w:rtl/>
        </w:rPr>
        <w:t>עו</w:t>
      </w:r>
      <w:proofErr w:type="spellEnd"/>
      <w:r>
        <w:rPr>
          <w:rFonts w:asciiTheme="majorBidi" w:hAnsiTheme="majorBidi" w:cstheme="majorBidi"/>
          <w:rtl/>
        </w:rPr>
        <w:t xml:space="preserve">. אם כי ניתן לשאול: אם כך, מדוע לא ישלם את כל החמישה עבור החוב השני. ייתכן שעצה טובה השמיע רב </w:t>
      </w:r>
      <w:proofErr w:type="spellStart"/>
      <w:r>
        <w:rPr>
          <w:rFonts w:asciiTheme="majorBidi" w:hAnsiTheme="majorBidi" w:cstheme="majorBidi"/>
          <w:rtl/>
        </w:rPr>
        <w:t>אדא</w:t>
      </w:r>
      <w:proofErr w:type="spellEnd"/>
      <w:r>
        <w:rPr>
          <w:rFonts w:asciiTheme="majorBidi" w:hAnsiTheme="majorBidi" w:cstheme="majorBidi"/>
          <w:rtl/>
        </w:rPr>
        <w:t xml:space="preserve"> לנודר.</w:t>
      </w:r>
    </w:p>
  </w:footnote>
  <w:footnote w:id="34">
    <w:p w14:paraId="7FBAA8B3" w14:textId="77777777" w:rsidR="004A5E4F" w:rsidRDefault="004A5E4F" w:rsidP="004A5E4F">
      <w:pPr>
        <w:pStyle w:val="a4"/>
        <w:spacing w:line="360" w:lineRule="auto"/>
        <w:rPr>
          <w:rFonts w:asciiTheme="majorBidi" w:hAnsiTheme="majorBidi" w:cstheme="majorBidi"/>
        </w:rPr>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rtl/>
        </w:rPr>
        <w:t xml:space="preserve">כפי שמשמע ברמב"ם. </w:t>
      </w:r>
    </w:p>
  </w:footnote>
  <w:footnote w:id="35">
    <w:p w14:paraId="36E6D66F" w14:textId="77777777" w:rsidR="004A5E4F" w:rsidRDefault="004A5E4F" w:rsidP="004A5E4F">
      <w:pPr>
        <w:pStyle w:val="a4"/>
        <w:spacing w:line="360" w:lineRule="auto"/>
        <w:rPr>
          <w:rFonts w:asciiTheme="majorBidi" w:hAnsiTheme="majorBidi" w:cstheme="majorBidi"/>
        </w:rPr>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rtl/>
        </w:rPr>
        <w:t>הערה 17.</w:t>
      </w:r>
    </w:p>
  </w:footnote>
  <w:footnote w:id="36">
    <w:p w14:paraId="50BD4075" w14:textId="77777777" w:rsidR="004A5E4F" w:rsidRDefault="004A5E4F" w:rsidP="004A5E4F">
      <w:pPr>
        <w:pStyle w:val="a4"/>
        <w:rPr>
          <w:rFonts w:asciiTheme="majorBidi" w:hAnsiTheme="majorBidi" w:cstheme="majorBidi"/>
          <w:rtl/>
        </w:rPr>
      </w:pPr>
      <w:r>
        <w:rPr>
          <w:rStyle w:val="a6"/>
          <w:rFonts w:asciiTheme="majorBidi" w:hAnsiTheme="majorBidi" w:cstheme="majorBidi"/>
        </w:rPr>
        <w:footnoteRef/>
      </w:r>
      <w:r>
        <w:rPr>
          <w:rFonts w:asciiTheme="majorBidi" w:hAnsiTheme="majorBidi" w:cstheme="majorBidi"/>
          <w:rtl/>
        </w:rPr>
        <w:t xml:space="preserve"> </w:t>
      </w:r>
      <w:r>
        <w:rPr>
          <w:rFonts w:asciiTheme="majorBidi" w:hAnsiTheme="majorBidi" w:cstheme="majorBidi"/>
          <w:rtl/>
        </w:rPr>
        <w:t>הרב בינה שם. היה ניתן לומר, שאת כל החישובים הללו רשאי הכהן לעשות מראש, ומאחר שתשלום עבור הנדר הראשון יותיר את הנודר ללא אמצעים לשלם את השני, רשאי הכהן להציע לפניו לשלם בצורה כזו, שלא יישאר בעל חוב בסופו של תהליך. זו היא השגת ידו. אולם בעינה עומדת ההשוואה שערכה הגמרא לדיני ממונות. על כן אולי פילס לו הרב בינה דרך להותיר השוואה - והבדל בין ערכין לבין דיני ממונות.</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20B8F"/>
    <w:multiLevelType w:val="hybridMultilevel"/>
    <w:tmpl w:val="D3028B66"/>
    <w:lvl w:ilvl="0" w:tplc="1E12E9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90157AF"/>
    <w:multiLevelType w:val="hybridMultilevel"/>
    <w:tmpl w:val="256634AA"/>
    <w:lvl w:ilvl="0" w:tplc="8E9CA3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9702E"/>
    <w:multiLevelType w:val="hybridMultilevel"/>
    <w:tmpl w:val="5E64B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E73F0A"/>
    <w:multiLevelType w:val="hybridMultilevel"/>
    <w:tmpl w:val="EB64F260"/>
    <w:lvl w:ilvl="0" w:tplc="0D7A6B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E0012"/>
    <w:multiLevelType w:val="hybridMultilevel"/>
    <w:tmpl w:val="7F4C18F4"/>
    <w:lvl w:ilvl="0" w:tplc="F4E47F0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6A5083"/>
    <w:multiLevelType w:val="hybridMultilevel"/>
    <w:tmpl w:val="45C4BDC4"/>
    <w:lvl w:ilvl="0" w:tplc="998880B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C70044"/>
    <w:multiLevelType w:val="hybridMultilevel"/>
    <w:tmpl w:val="77C09C98"/>
    <w:lvl w:ilvl="0" w:tplc="60AAEE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FC4886"/>
    <w:multiLevelType w:val="hybridMultilevel"/>
    <w:tmpl w:val="108ADF98"/>
    <w:lvl w:ilvl="0" w:tplc="3C748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4F"/>
    <w:rsid w:val="00162420"/>
    <w:rsid w:val="001B66D6"/>
    <w:rsid w:val="004A5E4F"/>
    <w:rsid w:val="00F902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6E1A"/>
  <w15:chartTrackingRefBased/>
  <w15:docId w15:val="{91FE7D2D-743D-470A-BAB2-127E8888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E4F"/>
    <w:pPr>
      <w:bidi/>
      <w:spacing w:after="0" w:line="36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E4F"/>
    <w:pPr>
      <w:spacing w:after="160" w:line="259" w:lineRule="auto"/>
      <w:ind w:left="720"/>
      <w:contextualSpacing/>
    </w:pPr>
    <w:rPr>
      <w:noProof/>
    </w:rPr>
  </w:style>
  <w:style w:type="paragraph" w:styleId="a4">
    <w:name w:val="footnote text"/>
    <w:basedOn w:val="a"/>
    <w:link w:val="a5"/>
    <w:uiPriority w:val="99"/>
    <w:unhideWhenUsed/>
    <w:rsid w:val="004A5E4F"/>
    <w:pPr>
      <w:spacing w:line="240" w:lineRule="auto"/>
    </w:pPr>
    <w:rPr>
      <w:sz w:val="20"/>
      <w:szCs w:val="20"/>
    </w:rPr>
  </w:style>
  <w:style w:type="character" w:customStyle="1" w:styleId="a5">
    <w:name w:val="טקסט הערת שוליים תו"/>
    <w:basedOn w:val="a0"/>
    <w:link w:val="a4"/>
    <w:uiPriority w:val="99"/>
    <w:rsid w:val="004A5E4F"/>
    <w:rPr>
      <w:sz w:val="20"/>
      <w:szCs w:val="20"/>
    </w:rPr>
  </w:style>
  <w:style w:type="character" w:styleId="a6">
    <w:name w:val="footnote reference"/>
    <w:basedOn w:val="a0"/>
    <w:uiPriority w:val="99"/>
    <w:semiHidden/>
    <w:unhideWhenUsed/>
    <w:rsid w:val="004A5E4F"/>
    <w:rPr>
      <w:vertAlign w:val="superscript"/>
    </w:rPr>
  </w:style>
  <w:style w:type="table" w:styleId="a7">
    <w:name w:val="Table Grid"/>
    <w:basedOn w:val="a1"/>
    <w:uiPriority w:val="39"/>
    <w:rsid w:val="004A5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A5E4F"/>
    <w:rPr>
      <w:sz w:val="16"/>
      <w:szCs w:val="16"/>
    </w:rPr>
  </w:style>
  <w:style w:type="paragraph" w:styleId="a9">
    <w:name w:val="annotation text"/>
    <w:basedOn w:val="a"/>
    <w:link w:val="aa"/>
    <w:uiPriority w:val="99"/>
    <w:unhideWhenUsed/>
    <w:rsid w:val="004A5E4F"/>
    <w:pPr>
      <w:spacing w:line="240" w:lineRule="auto"/>
    </w:pPr>
    <w:rPr>
      <w:sz w:val="20"/>
      <w:szCs w:val="20"/>
    </w:rPr>
  </w:style>
  <w:style w:type="character" w:customStyle="1" w:styleId="aa">
    <w:name w:val="טקסט הערה תו"/>
    <w:basedOn w:val="a0"/>
    <w:link w:val="a9"/>
    <w:uiPriority w:val="99"/>
    <w:rsid w:val="004A5E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1361</Words>
  <Characters>6810</Characters>
  <Application>Microsoft Office Word</Application>
  <DocSecurity>0</DocSecurity>
  <Lines>56</Lines>
  <Paragraphs>16</Paragraphs>
  <ScaleCrop>false</ScaleCrop>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2026-07-02T10:58:00Z</dcterms:created>
  <dcterms:modified xsi:type="dcterms:W3CDTF">2026-07-02T10:58:00Z</dcterms:modified>
</cp:coreProperties>
</file>