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FFCE" w14:textId="77777777" w:rsidR="00FD58DD" w:rsidRPr="00067504" w:rsidRDefault="00FD58DD" w:rsidP="00FD58DD">
      <w:pPr>
        <w:spacing w:after="0" w:line="360" w:lineRule="auto"/>
        <w:jc w:val="center"/>
        <w:rPr>
          <w:rFonts w:asciiTheme="majorBidi" w:hAnsiTheme="majorBidi" w:cs="Times New Roman"/>
          <w:b/>
          <w:bCs/>
          <w:sz w:val="28"/>
          <w:szCs w:val="28"/>
          <w:u w:val="single"/>
          <w:rtl/>
        </w:rPr>
      </w:pPr>
      <w:r w:rsidRPr="00067504">
        <w:rPr>
          <w:rFonts w:asciiTheme="majorBidi" w:hAnsiTheme="majorBidi" w:cs="Times New Roman" w:hint="eastAsia"/>
          <w:b/>
          <w:bCs/>
          <w:sz w:val="28"/>
          <w:szCs w:val="28"/>
          <w:u w:val="single"/>
          <w:rtl/>
        </w:rPr>
        <w:t>מעשה</w:t>
      </w:r>
      <w:r w:rsidRPr="00067504">
        <w:rPr>
          <w:rFonts w:asciiTheme="majorBidi" w:hAnsiTheme="majorBidi" w:cs="Times New Roman"/>
          <w:b/>
          <w:bCs/>
          <w:sz w:val="28"/>
          <w:szCs w:val="28"/>
          <w:u w:val="single"/>
          <w:rtl/>
        </w:rPr>
        <w:t xml:space="preserve"> </w:t>
      </w:r>
      <w:r w:rsidRPr="00067504">
        <w:rPr>
          <w:rFonts w:asciiTheme="majorBidi" w:hAnsiTheme="majorBidi" w:cs="Times New Roman" w:hint="eastAsia"/>
          <w:b/>
          <w:bCs/>
          <w:sz w:val="28"/>
          <w:szCs w:val="28"/>
          <w:u w:val="single"/>
          <w:rtl/>
        </w:rPr>
        <w:t>ומחשבה</w:t>
      </w:r>
      <w:r w:rsidRPr="00067504">
        <w:rPr>
          <w:rFonts w:asciiTheme="majorBidi" w:hAnsiTheme="majorBidi" w:cs="Times New Roman"/>
          <w:b/>
          <w:bCs/>
          <w:sz w:val="28"/>
          <w:szCs w:val="28"/>
          <w:u w:val="single"/>
          <w:rtl/>
        </w:rPr>
        <w:t xml:space="preserve"> </w:t>
      </w:r>
      <w:r w:rsidRPr="00067504">
        <w:rPr>
          <w:rFonts w:asciiTheme="majorBidi" w:hAnsiTheme="majorBidi" w:cs="Times New Roman" w:hint="eastAsia"/>
          <w:b/>
          <w:bCs/>
          <w:sz w:val="28"/>
          <w:szCs w:val="28"/>
          <w:u w:val="single"/>
          <w:rtl/>
        </w:rPr>
        <w:t>של</w:t>
      </w:r>
      <w:r w:rsidRPr="00067504">
        <w:rPr>
          <w:rFonts w:asciiTheme="majorBidi" w:hAnsiTheme="majorBidi" w:cs="Times New Roman"/>
          <w:b/>
          <w:bCs/>
          <w:sz w:val="28"/>
          <w:szCs w:val="28"/>
          <w:u w:val="single"/>
          <w:rtl/>
        </w:rPr>
        <w:t xml:space="preserve"> </w:t>
      </w:r>
      <w:r w:rsidRPr="00067504">
        <w:rPr>
          <w:rFonts w:asciiTheme="majorBidi" w:hAnsiTheme="majorBidi" w:cs="Times New Roman" w:hint="eastAsia"/>
          <w:b/>
          <w:bCs/>
          <w:sz w:val="28"/>
          <w:szCs w:val="28"/>
          <w:u w:val="single"/>
          <w:rtl/>
        </w:rPr>
        <w:t>קטן</w:t>
      </w:r>
    </w:p>
    <w:p w14:paraId="5D406C88"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חולין יב</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ב</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יג, א</w:t>
      </w:r>
    </w:p>
    <w:p w14:paraId="0B90906D" w14:textId="77777777" w:rsidR="00FD58DD" w:rsidRPr="00067504" w:rsidRDefault="00FD58DD" w:rsidP="00FD58DD">
      <w:pPr>
        <w:spacing w:after="0" w:line="360" w:lineRule="auto"/>
        <w:ind w:left="360"/>
        <w:rPr>
          <w:rFonts w:asciiTheme="majorBidi" w:hAnsiTheme="majorBidi" w:cstheme="majorBidi"/>
          <w:sz w:val="24"/>
          <w:szCs w:val="24"/>
          <w:rtl/>
        </w:rPr>
      </w:pPr>
      <w:r w:rsidRPr="00067504">
        <w:rPr>
          <w:rFonts w:asciiTheme="majorBidi" w:hAnsiTheme="majorBidi" w:cs="Times New Roman"/>
          <w:sz w:val="24"/>
          <w:szCs w:val="24"/>
          <w:rtl/>
        </w:rPr>
        <w:t>א"ר חייא בר אבא, בעי רבי יוחנן: קטן יש לו מחשבה או אין לו מחשבה? א"ל רבי אמי: ותיבעי ליה מעשה, מ"ש מעשה דלא קא מבעיא ליה? דתנן: יש להן מעשה, מחשבה נמי לא תיבעי ליה, דתנן: אין להן מחשבה! דתנן: האלון והרמון והאגוז שחקקום תינוקות למוד בהן עפר, או שהתקינום לכף מאזנים - טמאין, מפני שיש להן מעשה</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ואין להן מחשבה! אמר ליה: מחשבה גרידתא לא קא מיבעיא ליה, כי קא מיבעיא ליה - מחשבתו ניכרת מתוך מעשיו, כגון דהוה קיימא עולה בדרום ואתיוה בצפון ושחטה, מאי? מדאתייא בצפון ושחט איכוין לה, או דילמא מקום הוא דלא איתרמי ליה? הא נמי אמרה רבי יוחנן חדא זימנא! דתנן: המעלה פירותיו לגג מפני הכנימה וירד עליהם טל - אינן בכי יותן, ואם נתכוין לכך - הרי הן בכי יותן; העלום חרש שוטה וקטן, אף על פי שנתכוונו לכך - אינן בכי יותן, מפני שיש להן מעשה ואין להן מחשבה; וא"ר יוחנן: ל"ש אלא שלא היפך בהן, אבל היפך בהן - הרי זה בכי יותן! הכי קא מיבעיא ליה: דאורייתא או דרבנן. רב נחמן בר יצחק מתני הכי: א"ר חייא בר אבא, בעי רבי יוחנן: קטן יש לו מעשה או אין לו מעשה? אמר ליה רבי אמי: ותיבעי ליה מחשבה, מאי שנא מחשבה דלא קא מיבעיא ליה? דתנן: אין להן מחשבה, מעשה נמי לא תיבעי ליה, דתנן: יש להן מעשה! הכי קא מיבעיא ליה: דאורייתא או דרבנן? ופשיט: יש להן מעשה ואפילו מדאורייתא, אין להן מחשבה ואפי' מדרבנן, מחשבתו ניכרת מתוך מעשיו - מדאורייתא אין לו, מדרבנן יש לו.</w:t>
      </w:r>
    </w:p>
    <w:p w14:paraId="4401521B" w14:textId="77777777" w:rsidR="00FD58DD" w:rsidRPr="00067504" w:rsidRDefault="00FD58DD" w:rsidP="00FD58DD">
      <w:pPr>
        <w:pStyle w:val="a6"/>
        <w:numPr>
          <w:ilvl w:val="0"/>
          <w:numId w:val="2"/>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סיכום הסוגיה</w:t>
      </w:r>
    </w:p>
    <w:p w14:paraId="01B7AB9B"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במשנה</w:t>
      </w:r>
      <w:r w:rsidRPr="00067504">
        <w:rPr>
          <w:rStyle w:val="a5"/>
          <w:rFonts w:asciiTheme="majorBidi" w:hAnsiTheme="majorBidi" w:cstheme="majorBidi"/>
          <w:sz w:val="24"/>
          <w:szCs w:val="24"/>
          <w:rtl/>
        </w:rPr>
        <w:footnoteReference w:id="1"/>
      </w:r>
      <w:r w:rsidRPr="00067504">
        <w:rPr>
          <w:rFonts w:asciiTheme="majorBidi" w:hAnsiTheme="majorBidi" w:cstheme="majorBidi" w:hint="cs"/>
          <w:sz w:val="24"/>
          <w:szCs w:val="24"/>
          <w:rtl/>
        </w:rPr>
        <w:t xml:space="preserve"> נאמר ששחיטת קטנים פסולה </w:t>
      </w:r>
      <w:r w:rsidRPr="00067504">
        <w:rPr>
          <w:rFonts w:ascii="David" w:hAnsi="David" w:cs="David"/>
          <w:sz w:val="24"/>
          <w:szCs w:val="24"/>
          <w:rtl/>
        </w:rPr>
        <w:t>"שמא יקלקלו את שחיטתן. וכולן ששחטו ואחרים רואין אותן - שחיטתן כשרה".</w:t>
      </w:r>
      <w:r w:rsidRPr="00067504">
        <w:rPr>
          <w:rFonts w:asciiTheme="majorBidi" w:hAnsiTheme="majorBidi" w:cstheme="majorBidi" w:hint="cs"/>
          <w:sz w:val="24"/>
          <w:szCs w:val="24"/>
          <w:rtl/>
        </w:rPr>
        <w:t xml:space="preserve"> מעירה על כך הגמרא: </w:t>
      </w:r>
      <w:r w:rsidRPr="00067504">
        <w:rPr>
          <w:rFonts w:ascii="David" w:hAnsi="David" w:cs="David"/>
          <w:sz w:val="24"/>
          <w:szCs w:val="24"/>
          <w:rtl/>
        </w:rPr>
        <w:t>"מאן תנא דלא בעינן כוונה לשחיטה? אמר רבא: רבי נתן היא</w:t>
      </w:r>
      <w:r w:rsidRPr="00067504">
        <w:rPr>
          <w:rStyle w:val="a5"/>
          <w:rFonts w:ascii="David" w:hAnsi="David" w:cs="David"/>
          <w:sz w:val="24"/>
          <w:szCs w:val="24"/>
          <w:rtl/>
        </w:rPr>
        <w:footnoteReference w:id="2"/>
      </w:r>
      <w:r w:rsidRPr="00067504">
        <w:rPr>
          <w:rFonts w:ascii="David" w:hAnsi="David" w:cs="David"/>
          <w:sz w:val="24"/>
          <w:szCs w:val="24"/>
          <w:rtl/>
        </w:rPr>
        <w:t>".</w:t>
      </w:r>
      <w:r w:rsidRPr="00067504">
        <w:rPr>
          <w:rFonts w:asciiTheme="majorBidi" w:hAnsiTheme="majorBidi" w:cstheme="majorBidi" w:hint="cs"/>
          <w:sz w:val="24"/>
          <w:szCs w:val="24"/>
          <w:rtl/>
        </w:rPr>
        <w:t xml:space="preserve"> רבי נתן מכשיר שחיטה שנעשתה בזריקת סכין לכותל ללא כוונה, וחכמים פוסלים. רבא פוסק הלכה כרבי נתן</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 אם כן, פיקוח מבוגר על קטן, נצרך על מנת לוודא את תקינות הפרטים המעשיים. אין צורך בכוונה לדעת רבי נתן</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ולו היה צורך כזה - לא היה הקטן יכול למלא אותו.     </w:t>
      </w:r>
    </w:p>
    <w:p w14:paraId="7E3F0BF5"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על רקע זה באה שאלתו של רבי יוחנן, מה יקרה כאשר יש צורך בכוונה, </w:t>
      </w:r>
      <w:r w:rsidRPr="00067504">
        <w:rPr>
          <w:rFonts w:ascii="David" w:hAnsi="David" w:cs="David"/>
          <w:sz w:val="24"/>
          <w:szCs w:val="24"/>
          <w:rtl/>
        </w:rPr>
        <w:t>"כגון בשחיטת קדשים דבעי כוונה</w:t>
      </w:r>
      <w:r w:rsidRPr="00067504">
        <w:rPr>
          <w:rStyle w:val="a5"/>
          <w:rFonts w:ascii="David" w:hAnsi="David" w:cs="David"/>
          <w:sz w:val="24"/>
          <w:szCs w:val="24"/>
          <w:rtl/>
        </w:rPr>
        <w:footnoteReference w:id="4"/>
      </w:r>
      <w:r w:rsidRPr="00067504">
        <w:rPr>
          <w:rFonts w:ascii="David" w:hAnsi="David" w:cs="David"/>
          <w:sz w:val="24"/>
          <w:szCs w:val="24"/>
          <w:rtl/>
        </w:rPr>
        <w:t>".</w:t>
      </w:r>
    </w:p>
    <w:p w14:paraId="53BAAE1E"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הגמרא מגדירה את גבולות החקירה: אין ספק שמעשה של קטנים יכול להגדיר כלי, שהרי שנינו שכשהם הופכים עץ לכלי קיבול או מדידה, הוא מקבל טומאה. מאידך, מחשבה שלהם פשוט שאינה מספיקה, שמחשבתם על קליפת אגוז איננה מגדירה אותה ככלי. מסקנת הגמרא היא שרבי יוחנן דן במצב ש'מחשבתו ניכרת מתוך מעשיו', כגון הלכה ששנינו שאם העלו פירות לגג מפני הכנימה, כשירד עליהם הטל - גם אם מחשבתם לכך - אין הפירות מוכשרים לקבל טומאה, כיוון שיש צורך בכוונה של בוגר לתת לפירות שם של 'כי יותן'. על משנה זו העיר רבי יוחנן, שאם 'היפך בהן' הקטן, הרי זה בכי יותן, </w:t>
      </w:r>
      <w:r w:rsidRPr="00067504">
        <w:rPr>
          <w:rFonts w:ascii="David" w:hAnsi="David" w:cs="David"/>
          <w:sz w:val="24"/>
          <w:szCs w:val="24"/>
          <w:rtl/>
        </w:rPr>
        <w:t>"דמעשיו מוכיחין</w:t>
      </w:r>
      <w:r w:rsidRPr="00067504">
        <w:rPr>
          <w:rFonts w:ascii="David" w:hAnsi="David" w:cs="David" w:hint="cs"/>
          <w:sz w:val="24"/>
          <w:szCs w:val="24"/>
          <w:rtl/>
        </w:rPr>
        <w:t>.</w:t>
      </w:r>
      <w:r w:rsidRPr="00067504">
        <w:rPr>
          <w:rFonts w:ascii="David" w:hAnsi="David" w:cs="David"/>
          <w:sz w:val="24"/>
          <w:szCs w:val="24"/>
          <w:rtl/>
        </w:rPr>
        <w:t xml:space="preserve"> אף על פי שלא פירש מחשבתו</w:t>
      </w:r>
      <w:r w:rsidRPr="00067504">
        <w:rPr>
          <w:rFonts w:ascii="David" w:hAnsi="David" w:cs="David" w:hint="cs"/>
          <w:sz w:val="24"/>
          <w:szCs w:val="24"/>
          <w:rtl/>
        </w:rPr>
        <w:t>,</w:t>
      </w:r>
      <w:r w:rsidRPr="00067504">
        <w:rPr>
          <w:rFonts w:ascii="David" w:hAnsi="David" w:cs="David"/>
          <w:sz w:val="24"/>
          <w:szCs w:val="24"/>
          <w:rtl/>
        </w:rPr>
        <w:t xml:space="preserve"> הואיל וניכר שדעתו לכך</w:t>
      </w:r>
      <w:r w:rsidRPr="00067504">
        <w:rPr>
          <w:rFonts w:ascii="David" w:hAnsi="David" w:cs="David" w:hint="cs"/>
          <w:sz w:val="24"/>
          <w:szCs w:val="24"/>
          <w:rtl/>
        </w:rPr>
        <w:t xml:space="preserve"> -</w:t>
      </w:r>
      <w:r w:rsidRPr="00067504">
        <w:rPr>
          <w:rFonts w:ascii="David" w:hAnsi="David" w:cs="David"/>
          <w:sz w:val="24"/>
          <w:szCs w:val="24"/>
          <w:rtl/>
        </w:rPr>
        <w:t xml:space="preserve"> הרי הן בכי יותן</w:t>
      </w:r>
      <w:r w:rsidRPr="00067504">
        <w:rPr>
          <w:rStyle w:val="a5"/>
          <w:rFonts w:ascii="David" w:hAnsi="David" w:cs="David"/>
          <w:sz w:val="24"/>
          <w:szCs w:val="24"/>
        </w:rPr>
        <w:footnoteReference w:id="5"/>
      </w:r>
      <w:r w:rsidRPr="00067504">
        <w:rPr>
          <w:rFonts w:ascii="David" w:hAnsi="David" w:cs="David"/>
          <w:sz w:val="24"/>
          <w:szCs w:val="24"/>
          <w:rtl/>
        </w:rPr>
        <w:t>".</w:t>
      </w:r>
    </w:p>
    <w:p w14:paraId="3BB685E6"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השאלה שמעלה רבי יוחנן היא האם נותנים תוקף ל'מחשבתו ניכרת מתוך מעשיו', רק לחומרה, כגון בפירות שנחשיב אותם מסוגלים לקבל טומאה, או גם לקולא, כגון שהקפיד לקחת עולה מדרום למקומה בצפון, ושחטה שם. </w:t>
      </w:r>
      <w:r w:rsidRPr="00067504">
        <w:rPr>
          <w:rFonts w:asciiTheme="majorBidi" w:hAnsiTheme="majorBidi" w:cs="Times New Roman" w:hint="cs"/>
          <w:sz w:val="24"/>
          <w:szCs w:val="24"/>
          <w:rtl/>
        </w:rPr>
        <w:t>לדרך זו השאלה לא נפשטה.</w:t>
      </w:r>
      <w:r w:rsidRPr="00067504">
        <w:rPr>
          <w:rFonts w:asciiTheme="majorBidi" w:hAnsiTheme="majorBidi" w:cstheme="majorBidi" w:hint="cs"/>
          <w:sz w:val="24"/>
          <w:szCs w:val="24"/>
          <w:rtl/>
        </w:rPr>
        <w:t xml:space="preserve"> לפי לשון שנייה בגמרא הספק הוא אפילו במעשה גמור, האם יכולתו של הקטן להפוך קליפת אגוז לכלי היא מדרבנן ומשום שהלכה זו היא לחומרה, או אפילו מדאורייתא וגם לקולא. </w:t>
      </w:r>
      <w:r w:rsidRPr="00067504">
        <w:rPr>
          <w:rFonts w:ascii="David" w:hAnsi="David" w:cs="David"/>
          <w:sz w:val="24"/>
          <w:szCs w:val="24"/>
          <w:rtl/>
        </w:rPr>
        <w:t>"ופשיט: יש להן מעשה ואפילו מדאורייתא, אין להן מחשבה ואפי' מדרבנן, מחשבתו ניכרת מתוך מעשיו - מדאורייתא אין לו, מדרבנן יש לו</w:t>
      </w:r>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ואז בכל מקרה מחמירים.</w:t>
      </w:r>
    </w:p>
    <w:p w14:paraId="643B8997" w14:textId="77777777" w:rsidR="00FD58DD" w:rsidRPr="00067504" w:rsidRDefault="00FD58DD" w:rsidP="00FD58DD">
      <w:p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ב</w:t>
      </w:r>
      <w:r w:rsidRPr="00067504">
        <w:rPr>
          <w:rFonts w:asciiTheme="majorBidi" w:hAnsiTheme="majorBidi" w:cstheme="majorBidi"/>
          <w:b/>
          <w:bCs/>
          <w:sz w:val="24"/>
          <w:szCs w:val="24"/>
          <w:rtl/>
        </w:rPr>
        <w:t xml:space="preserve">. </w:t>
      </w:r>
      <w:r w:rsidRPr="00067504">
        <w:rPr>
          <w:rFonts w:asciiTheme="majorBidi" w:hAnsiTheme="majorBidi" w:cstheme="majorBidi" w:hint="cs"/>
          <w:b/>
          <w:bCs/>
          <w:sz w:val="24"/>
          <w:szCs w:val="24"/>
          <w:rtl/>
        </w:rPr>
        <w:t>הגדרת ההבדל בין מעשה לבין מחשבה הניכרת במעשה</w:t>
      </w:r>
    </w:p>
    <w:p w14:paraId="5B1A592B"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שיטת רש"י היא שהמבדיל הוא הדיבור של הקטן, שלגבי יצירת כלי מקליפת עץ, הנחשבת מעשה, כתב:</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 </w:t>
      </w:r>
    </w:p>
    <w:p w14:paraId="1CDBB55E" w14:textId="77777777" w:rsidR="00FD58DD" w:rsidRPr="00067504" w:rsidRDefault="00FD58DD" w:rsidP="00FD58DD">
      <w:pPr>
        <w:spacing w:after="0" w:line="360" w:lineRule="auto"/>
        <w:rPr>
          <w:rFonts w:ascii="David" w:hAnsi="David" w:cs="David"/>
          <w:sz w:val="24"/>
          <w:szCs w:val="24"/>
          <w:rtl/>
        </w:rPr>
      </w:pPr>
      <w:r w:rsidRPr="00067504">
        <w:rPr>
          <w:rFonts w:ascii="David" w:hAnsi="David" w:cs="David"/>
          <w:sz w:val="24"/>
          <w:szCs w:val="24"/>
          <w:rtl/>
        </w:rPr>
        <w:t xml:space="preserve">"כגון זה שמעשיהן מוכיחין דלשם כלי נתכוונו </w:t>
      </w:r>
      <w:r w:rsidRPr="00067504">
        <w:rPr>
          <w:rFonts w:ascii="David" w:hAnsi="David" w:cs="David"/>
          <w:b/>
          <w:bCs/>
          <w:sz w:val="24"/>
          <w:szCs w:val="24"/>
          <w:rtl/>
        </w:rPr>
        <w:t>וגם הם אומרים כן</w:t>
      </w:r>
      <w:r w:rsidRPr="00067504">
        <w:rPr>
          <w:rFonts w:ascii="David" w:hAnsi="David" w:cs="David" w:hint="cs"/>
          <w:sz w:val="24"/>
          <w:szCs w:val="24"/>
          <w:rtl/>
        </w:rPr>
        <w:t>,</w:t>
      </w:r>
      <w:r w:rsidRPr="00067504">
        <w:rPr>
          <w:rFonts w:ascii="David" w:hAnsi="David" w:cs="David"/>
          <w:sz w:val="24"/>
          <w:szCs w:val="24"/>
          <w:rtl/>
        </w:rPr>
        <w:t xml:space="preserve"> ויש כאן מעשה ומחשבה</w:t>
      </w:r>
      <w:r w:rsidRPr="00067504">
        <w:rPr>
          <w:rStyle w:val="a5"/>
          <w:rFonts w:ascii="David" w:hAnsi="David" w:cs="David"/>
          <w:sz w:val="24"/>
          <w:szCs w:val="24"/>
          <w:rtl/>
        </w:rPr>
        <w:footnoteReference w:id="7"/>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ולגבי עולה, הנחשבת מחשבה הניכרת במעשה, הגדיר: </w:t>
      </w:r>
      <w:r w:rsidRPr="00067504">
        <w:rPr>
          <w:rFonts w:ascii="David" w:hAnsi="David" w:cs="David"/>
          <w:sz w:val="24"/>
          <w:szCs w:val="24"/>
          <w:rtl/>
        </w:rPr>
        <w:t>"ולא אמר</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על שם כך אני מוליכה לשם</w:t>
      </w:r>
      <w:r w:rsidRPr="00067504">
        <w:rPr>
          <w:rFonts w:ascii="David" w:hAnsi="David" w:cs="David" w:hint="cs"/>
          <w:sz w:val="24"/>
          <w:szCs w:val="24"/>
          <w:rtl/>
        </w:rPr>
        <w:t>,</w:t>
      </w:r>
      <w:r w:rsidRPr="00067504">
        <w:rPr>
          <w:rFonts w:ascii="David" w:hAnsi="David" w:cs="David"/>
          <w:sz w:val="24"/>
          <w:szCs w:val="24"/>
          <w:rtl/>
        </w:rPr>
        <w:t xml:space="preserve"> לפי שאינה כשרה בדרום</w:t>
      </w:r>
      <w:r w:rsidRPr="00067504">
        <w:rPr>
          <w:rFonts w:ascii="David" w:hAnsi="David" w:cs="David" w:hint="cs"/>
          <w:sz w:val="24"/>
          <w:szCs w:val="24"/>
          <w:rtl/>
        </w:rPr>
        <w:t>'</w:t>
      </w:r>
      <w:r w:rsidRPr="00067504">
        <w:rPr>
          <w:rStyle w:val="a5"/>
          <w:rFonts w:ascii="David" w:hAnsi="David" w:cs="David"/>
          <w:sz w:val="24"/>
          <w:szCs w:val="24"/>
          <w:rtl/>
        </w:rPr>
        <w:footnoteReference w:id="8"/>
      </w:r>
      <w:r w:rsidRPr="00067504">
        <w:rPr>
          <w:rFonts w:ascii="David" w:hAnsi="David" w:cs="David"/>
          <w:sz w:val="24"/>
          <w:szCs w:val="24"/>
          <w:rtl/>
        </w:rPr>
        <w:t>".</w:t>
      </w:r>
      <w:r w:rsidRPr="00067504">
        <w:rPr>
          <w:rFonts w:asciiTheme="majorBidi" w:hAnsiTheme="majorBidi" w:cstheme="majorBidi" w:hint="cs"/>
          <w:sz w:val="24"/>
          <w:szCs w:val="24"/>
          <w:rtl/>
        </w:rPr>
        <w:t xml:space="preserve"> דיבור בלי מעשה הרי הוא כמחשבה</w:t>
      </w:r>
      <w:r w:rsidRPr="00067504">
        <w:rPr>
          <w:rStyle w:val="a5"/>
          <w:rFonts w:asciiTheme="majorBidi" w:hAnsiTheme="majorBidi" w:cstheme="majorBidi"/>
          <w:sz w:val="24"/>
          <w:szCs w:val="24"/>
          <w:rtl/>
        </w:rPr>
        <w:footnoteReference w:id="9"/>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התוספות</w:t>
      </w:r>
      <w:r w:rsidRPr="00067504">
        <w:rPr>
          <w:rStyle w:val="a5"/>
          <w:rFonts w:asciiTheme="majorBidi" w:hAnsiTheme="majorBidi" w:cs="Times New Roman"/>
          <w:sz w:val="24"/>
          <w:szCs w:val="24"/>
          <w:rtl/>
        </w:rPr>
        <w:footnoteReference w:id="10"/>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מקשים כמה וכמה קושיות על דרכו של רש"י:  </w:t>
      </w:r>
    </w:p>
    <w:p w14:paraId="33C99C75" w14:textId="77777777" w:rsidR="00FD58DD" w:rsidRPr="00067504" w:rsidRDefault="00FD58DD" w:rsidP="00FD58DD">
      <w:pPr>
        <w:pStyle w:val="a6"/>
        <w:numPr>
          <w:ilvl w:val="0"/>
          <w:numId w:val="1"/>
        </w:num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t>לדבריו כשם שאין דיבור בלי מעשה, כך אין תוקף למעשה ללא דיבור, ואת זאת לא אמרה הגמרא.</w:t>
      </w:r>
    </w:p>
    <w:p w14:paraId="58840F04" w14:textId="77777777" w:rsidR="00FD58DD" w:rsidRPr="00067504" w:rsidRDefault="00FD58DD" w:rsidP="00FD58DD">
      <w:pPr>
        <w:pStyle w:val="a6"/>
        <w:numPr>
          <w:ilvl w:val="0"/>
          <w:numId w:val="1"/>
        </w:numPr>
        <w:spacing w:after="0" w:line="360" w:lineRule="auto"/>
        <w:rPr>
          <w:rFonts w:asciiTheme="majorBidi" w:hAnsiTheme="majorBidi" w:cs="Times New Roman"/>
          <w:sz w:val="24"/>
          <w:szCs w:val="24"/>
        </w:rPr>
      </w:pPr>
      <w:r w:rsidRPr="00067504">
        <w:rPr>
          <w:rFonts w:asciiTheme="majorBidi" w:hAnsiTheme="majorBidi" w:cs="Times New Roman" w:hint="cs"/>
          <w:sz w:val="24"/>
          <w:szCs w:val="24"/>
          <w:rtl/>
        </w:rPr>
        <w:t xml:space="preserve">במקום להביא לדיון מקרה חדש של הקרבת עולה בצפון, כדי למצוא </w:t>
      </w:r>
      <w:r w:rsidRPr="00067504">
        <w:rPr>
          <w:rFonts w:asciiTheme="majorBidi" w:hAnsiTheme="majorBidi" w:cstheme="majorBidi" w:hint="cs"/>
          <w:sz w:val="24"/>
          <w:szCs w:val="24"/>
          <w:rtl/>
        </w:rPr>
        <w:t>מחשבה הניכרת במעשה</w:t>
      </w:r>
      <w:r w:rsidRPr="00067504">
        <w:rPr>
          <w:rFonts w:asciiTheme="majorBidi" w:hAnsiTheme="majorBidi" w:cs="Times New Roman" w:hint="cs"/>
          <w:sz w:val="24"/>
          <w:szCs w:val="24"/>
          <w:rtl/>
        </w:rPr>
        <w:t>, יכלו לפי רש"י להדגים בהלכה שכבר הובאה, בחקיקת קליפת עץ ללא אמירה. קושיה זו כבר מתרצים בתוספות עצמם, שלמסקנה שהשאלה היא האם להחמיר מדרבנן, יש צורך במקרה של קטן המקריב עולה, ששם הוא להקל ובכלי עץ הוא להחמיר.</w:t>
      </w:r>
    </w:p>
    <w:p w14:paraId="5D40F67A" w14:textId="77777777" w:rsidR="00FD58DD" w:rsidRPr="00067504" w:rsidRDefault="00FD58DD" w:rsidP="00FD58DD">
      <w:pPr>
        <w:pStyle w:val="a6"/>
        <w:numPr>
          <w:ilvl w:val="0"/>
          <w:numId w:val="1"/>
        </w:numPr>
        <w:spacing w:after="0" w:line="360" w:lineRule="auto"/>
        <w:rPr>
          <w:rFonts w:asciiTheme="majorBidi" w:hAnsiTheme="majorBidi" w:cs="Times New Roman"/>
          <w:sz w:val="24"/>
          <w:szCs w:val="24"/>
        </w:rPr>
      </w:pPr>
      <w:r w:rsidRPr="00067504">
        <w:rPr>
          <w:rFonts w:asciiTheme="majorBidi" w:hAnsiTheme="majorBidi" w:cs="Times New Roman" w:hint="cs"/>
          <w:sz w:val="24"/>
          <w:szCs w:val="24"/>
          <w:rtl/>
        </w:rPr>
        <w:t>מדוע בהכשרת פירות העלאת הפירות אינה מועילה כמעשה בצירוף הדיבור?</w:t>
      </w:r>
    </w:p>
    <w:p w14:paraId="203C80FC" w14:textId="77777777" w:rsidR="00FD58DD" w:rsidRPr="00067504" w:rsidRDefault="00FD58DD" w:rsidP="00FD58DD">
      <w:pPr>
        <w:pStyle w:val="a6"/>
        <w:spacing w:after="0" w:line="360" w:lineRule="auto"/>
        <w:rPr>
          <w:rFonts w:asciiTheme="majorBidi" w:hAnsiTheme="majorBidi" w:cs="Times New Roman"/>
          <w:sz w:val="24"/>
          <w:szCs w:val="24"/>
        </w:rPr>
      </w:pPr>
      <w:r w:rsidRPr="00067504">
        <w:rPr>
          <w:rFonts w:asciiTheme="majorBidi" w:hAnsiTheme="majorBidi" w:cs="Times New Roman" w:hint="cs"/>
          <w:sz w:val="24"/>
          <w:szCs w:val="24"/>
          <w:rtl/>
        </w:rPr>
        <w:t xml:space="preserve"> אמנם רש"י</w:t>
      </w:r>
      <w:r w:rsidRPr="00067504">
        <w:rPr>
          <w:rStyle w:val="a5"/>
          <w:rFonts w:asciiTheme="majorBidi" w:hAnsiTheme="majorBidi" w:cs="Times New Roman"/>
          <w:sz w:val="24"/>
          <w:szCs w:val="24"/>
          <w:rtl/>
        </w:rPr>
        <w:footnoteReference w:id="11"/>
      </w:r>
      <w:r w:rsidRPr="00067504">
        <w:rPr>
          <w:rFonts w:asciiTheme="majorBidi" w:hAnsiTheme="majorBidi" w:cs="Times New Roman" w:hint="cs"/>
          <w:sz w:val="24"/>
          <w:szCs w:val="24"/>
          <w:rtl/>
        </w:rPr>
        <w:t xml:space="preserve"> הקפיד להסביר שכוונתם הצטרפה רק לאחר ההעלאה, אולם לדעת התוספות זה דוחק.</w:t>
      </w:r>
    </w:p>
    <w:p w14:paraId="4C2D1525" w14:textId="77777777" w:rsidR="00FD58DD" w:rsidRPr="00067504" w:rsidRDefault="00FD58DD" w:rsidP="00FD58DD">
      <w:pPr>
        <w:pStyle w:val="a6"/>
        <w:numPr>
          <w:ilvl w:val="0"/>
          <w:numId w:val="1"/>
        </w:num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t xml:space="preserve">אם </w:t>
      </w:r>
      <w:r w:rsidRPr="00067504">
        <w:rPr>
          <w:rFonts w:asciiTheme="majorBidi" w:hAnsiTheme="majorBidi" w:cstheme="majorBidi" w:hint="cs"/>
          <w:sz w:val="24"/>
          <w:szCs w:val="24"/>
          <w:rtl/>
        </w:rPr>
        <w:t xml:space="preserve">מחשבה הניכרת במעשה היא גם ללא דיבור, מדוע לא נכשיר לקבל טומאה אפילו ב'העלום' סתם? </w:t>
      </w:r>
      <w:r w:rsidRPr="00067504">
        <w:rPr>
          <w:rFonts w:asciiTheme="majorBidi" w:hAnsiTheme="majorBidi" w:cs="Times New Roman" w:hint="cs"/>
          <w:sz w:val="24"/>
          <w:szCs w:val="24"/>
          <w:rtl/>
        </w:rPr>
        <w:t>בעניין זה מסכימים בעלי התוספות שהאפשרות ש'</w:t>
      </w:r>
      <w:r w:rsidRPr="00067504">
        <w:rPr>
          <w:rFonts w:asciiTheme="majorBidi" w:hAnsiTheme="majorBidi" w:cs="Times New Roman"/>
          <w:sz w:val="24"/>
          <w:szCs w:val="24"/>
          <w:rtl/>
        </w:rPr>
        <w:t>מפני הכנימה העלום</w:t>
      </w:r>
      <w:r w:rsidRPr="00067504">
        <w:rPr>
          <w:rFonts w:asciiTheme="majorBidi" w:hAnsiTheme="majorBidi" w:cs="Times New Roman" w:hint="cs"/>
          <w:sz w:val="24"/>
          <w:szCs w:val="24"/>
          <w:rtl/>
        </w:rPr>
        <w:t>', מגדירה את המעשה כגרוע.</w:t>
      </w:r>
    </w:p>
    <w:p w14:paraId="7890FEDC" w14:textId="77777777" w:rsidR="00FD58DD" w:rsidRPr="006F3DAB" w:rsidRDefault="00FD58DD" w:rsidP="00FD58DD">
      <w:pPr>
        <w:pStyle w:val="a6"/>
        <w:numPr>
          <w:ilvl w:val="0"/>
          <w:numId w:val="1"/>
        </w:numPr>
        <w:spacing w:after="0" w:line="360" w:lineRule="auto"/>
        <w:rPr>
          <w:rFonts w:ascii="David" w:hAnsi="David" w:cs="David"/>
          <w:sz w:val="24"/>
          <w:szCs w:val="24"/>
          <w:rtl/>
        </w:rPr>
      </w:pPr>
      <w:r w:rsidRPr="00067504">
        <w:rPr>
          <w:rFonts w:asciiTheme="majorBidi" w:hAnsiTheme="majorBidi" w:cs="Times New Roman" w:hint="cs"/>
          <w:sz w:val="24"/>
          <w:szCs w:val="24"/>
          <w:rtl/>
        </w:rPr>
        <w:t xml:space="preserve">הגמרא חקרה מהו נימוק הקטן להעביר עולה לצפון, האם כדי לעשות כדין או </w:t>
      </w:r>
      <w:r w:rsidRPr="00067504">
        <w:rPr>
          <w:rFonts w:asciiTheme="majorBidi" w:hAnsiTheme="majorBidi" w:cstheme="majorBidi"/>
          <w:sz w:val="24"/>
          <w:szCs w:val="24"/>
          <w:rtl/>
        </w:rPr>
        <w:t xml:space="preserve">שמא </w:t>
      </w:r>
      <w:r w:rsidRPr="00067504">
        <w:rPr>
          <w:rFonts w:ascii="David" w:hAnsi="David" w:cs="David"/>
          <w:sz w:val="24"/>
          <w:szCs w:val="24"/>
          <w:rtl/>
        </w:rPr>
        <w:t>"לא נראה בעיניו מקום הראשון</w:t>
      </w:r>
      <w:r w:rsidRPr="00067504">
        <w:rPr>
          <w:rStyle w:val="a5"/>
          <w:rFonts w:ascii="David" w:hAnsi="David" w:cs="David"/>
          <w:sz w:val="24"/>
          <w:szCs w:val="24"/>
          <w:rtl/>
        </w:rPr>
        <w:footnoteReference w:id="12"/>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משמע שללא אפשרות כזו, לא היינו תולים לקלקול, אפילו לא דיבר.</w:t>
      </w:r>
      <w:r w:rsidRPr="00067504">
        <w:rPr>
          <w:rFonts w:ascii="David" w:hAnsi="David" w:cs="David" w:hint="cs"/>
          <w:sz w:val="24"/>
          <w:szCs w:val="24"/>
          <w:rtl/>
        </w:rPr>
        <w:t xml:space="preserve"> </w:t>
      </w:r>
      <w:r w:rsidRPr="006F3DAB">
        <w:rPr>
          <w:rFonts w:asciiTheme="majorBidi" w:hAnsiTheme="majorBidi" w:cstheme="majorBidi"/>
          <w:sz w:val="24"/>
          <w:szCs w:val="24"/>
          <w:rtl/>
        </w:rPr>
        <w:t>לכן דעת בעלי התוספות</w:t>
      </w:r>
      <w:r w:rsidRPr="006F3DAB">
        <w:rPr>
          <w:rFonts w:ascii="David" w:hAnsi="David" w:cs="David" w:hint="cs"/>
          <w:sz w:val="24"/>
          <w:szCs w:val="24"/>
          <w:rtl/>
        </w:rPr>
        <w:t xml:space="preserve"> </w:t>
      </w:r>
      <w:r w:rsidRPr="006F3DAB">
        <w:rPr>
          <w:rFonts w:asciiTheme="majorBidi" w:hAnsiTheme="majorBidi" w:cstheme="majorBidi"/>
          <w:sz w:val="24"/>
          <w:szCs w:val="24"/>
          <w:rtl/>
        </w:rPr>
        <w:t xml:space="preserve">היא </w:t>
      </w:r>
      <w:r w:rsidRPr="006F3DAB">
        <w:rPr>
          <w:rFonts w:asciiTheme="majorBidi" w:hAnsiTheme="majorBidi" w:cs="Times New Roman" w:hint="cs"/>
          <w:sz w:val="24"/>
          <w:szCs w:val="24"/>
          <w:rtl/>
        </w:rPr>
        <w:t>"</w:t>
      </w:r>
      <w:r w:rsidRPr="006F3DAB">
        <w:rPr>
          <w:rFonts w:ascii="David" w:hAnsi="David" w:cs="David"/>
          <w:sz w:val="24"/>
          <w:szCs w:val="24"/>
          <w:rtl/>
        </w:rPr>
        <w:t>דאמירתו לא מועלת ולא מורדת</w:t>
      </w:r>
      <w:r w:rsidRPr="006F3DAB">
        <w:rPr>
          <w:rFonts w:ascii="David" w:hAnsi="David" w:cs="David" w:hint="cs"/>
          <w:sz w:val="24"/>
          <w:szCs w:val="24"/>
          <w:rtl/>
        </w:rPr>
        <w:t>,</w:t>
      </w:r>
      <w:r w:rsidRPr="006F3DAB">
        <w:rPr>
          <w:rFonts w:ascii="David" w:hAnsi="David" w:cs="David"/>
          <w:sz w:val="24"/>
          <w:szCs w:val="24"/>
          <w:rtl/>
        </w:rPr>
        <w:t xml:space="preserve"> אלא מעשה גמור</w:t>
      </w:r>
      <w:r w:rsidRPr="006F3DAB">
        <w:rPr>
          <w:rFonts w:ascii="David" w:hAnsi="David" w:cs="David" w:hint="cs"/>
          <w:sz w:val="24"/>
          <w:szCs w:val="24"/>
          <w:rtl/>
        </w:rPr>
        <w:t xml:space="preserve">". </w:t>
      </w:r>
      <w:r w:rsidRPr="006F3DAB">
        <w:rPr>
          <w:rFonts w:asciiTheme="majorBidi" w:hAnsiTheme="majorBidi" w:cstheme="majorBidi" w:hint="cs"/>
          <w:sz w:val="24"/>
          <w:szCs w:val="24"/>
          <w:rtl/>
        </w:rPr>
        <w:t xml:space="preserve">מעשה גמור הוא חקיקה בעץ לשם כלי קיבול. מעשה גרוע הוא העלאת הפירות לגג, שבזה אין המשמעות ההלכתית משתמעת מתוך המעשה, ואפילו דיבור לא יועיל בו. </w:t>
      </w:r>
    </w:p>
    <w:p w14:paraId="6D8E36A1" w14:textId="77777777" w:rsidR="00FD58DD" w:rsidRPr="00067504" w:rsidRDefault="00FD58DD" w:rsidP="00FD58DD">
      <w:pPr>
        <w:spacing w:after="0" w:line="360" w:lineRule="auto"/>
        <w:ind w:left="720"/>
        <w:rPr>
          <w:rFonts w:ascii="David" w:hAnsi="David" w:cs="David"/>
          <w:sz w:val="24"/>
          <w:szCs w:val="24"/>
          <w:rtl/>
        </w:rPr>
      </w:pPr>
      <w:r w:rsidRPr="00067504">
        <w:rPr>
          <w:rFonts w:ascii="David" w:hAnsi="David" w:cs="David"/>
          <w:sz w:val="24"/>
          <w:szCs w:val="24"/>
          <w:rtl/>
        </w:rPr>
        <w:t>אבל מחשבתו ניכרת מתוך מעשיו</w:t>
      </w:r>
      <w:r w:rsidRPr="00067504">
        <w:rPr>
          <w:rFonts w:ascii="David" w:hAnsi="David" w:cs="David" w:hint="cs"/>
          <w:sz w:val="24"/>
          <w:szCs w:val="24"/>
          <w:rtl/>
        </w:rPr>
        <w:t>,</w:t>
      </w:r>
      <w:r w:rsidRPr="00067504">
        <w:rPr>
          <w:rFonts w:ascii="David" w:hAnsi="David" w:cs="David"/>
          <w:sz w:val="24"/>
          <w:szCs w:val="24"/>
          <w:rtl/>
        </w:rPr>
        <w:t xml:space="preserve"> היינו שמוכיח קצת</w:t>
      </w:r>
      <w:r w:rsidRPr="00067504">
        <w:rPr>
          <w:rFonts w:ascii="David" w:hAnsi="David" w:cs="David" w:hint="cs"/>
          <w:sz w:val="24"/>
          <w:szCs w:val="24"/>
          <w:rtl/>
        </w:rPr>
        <w:t>.</w:t>
      </w:r>
      <w:r w:rsidRPr="00067504">
        <w:rPr>
          <w:rFonts w:ascii="David" w:hAnsi="David" w:cs="David"/>
          <w:sz w:val="24"/>
          <w:szCs w:val="24"/>
          <w:rtl/>
        </w:rPr>
        <w:t xml:space="preserve"> כגון עולה דקיימא בדרום ואתייה בצפון ושחטה קמיבעיא ליה אי חשיב מעשה</w:t>
      </w:r>
      <w:r w:rsidRPr="00067504">
        <w:rPr>
          <w:rFonts w:ascii="David" w:hAnsi="David" w:cs="David" w:hint="cs"/>
          <w:sz w:val="24"/>
          <w:szCs w:val="24"/>
          <w:rtl/>
        </w:rPr>
        <w:t>,</w:t>
      </w:r>
      <w:r w:rsidRPr="00067504">
        <w:rPr>
          <w:rFonts w:ascii="David" w:hAnsi="David" w:cs="David"/>
          <w:sz w:val="24"/>
          <w:szCs w:val="24"/>
          <w:rtl/>
        </w:rPr>
        <w:t xml:space="preserve"> שכן נראה יותר שלכך נתכוין</w:t>
      </w:r>
      <w:r w:rsidRPr="00067504">
        <w:rPr>
          <w:rFonts w:ascii="David" w:hAnsi="David" w:cs="David" w:hint="cs"/>
          <w:sz w:val="24"/>
          <w:szCs w:val="24"/>
          <w:rtl/>
        </w:rPr>
        <w:t>,</w:t>
      </w:r>
      <w:r w:rsidRPr="00067504">
        <w:rPr>
          <w:rFonts w:ascii="David" w:hAnsi="David" w:cs="David"/>
          <w:sz w:val="24"/>
          <w:szCs w:val="24"/>
          <w:rtl/>
        </w:rPr>
        <w:t xml:space="preserve"> ומהני אף על פי שלא פירש</w:t>
      </w:r>
      <w:r w:rsidRPr="00067504">
        <w:rPr>
          <w:rFonts w:ascii="David" w:hAnsi="David" w:cs="David" w:hint="cs"/>
          <w:sz w:val="24"/>
          <w:szCs w:val="24"/>
          <w:rtl/>
        </w:rPr>
        <w:t xml:space="preserve">, </w:t>
      </w:r>
      <w:r w:rsidRPr="00067504">
        <w:rPr>
          <w:rFonts w:ascii="David" w:hAnsi="David" w:cs="David"/>
          <w:sz w:val="24"/>
          <w:szCs w:val="24"/>
          <w:rtl/>
        </w:rPr>
        <w:t>או דילמא לאו מעשה גמור הוא</w:t>
      </w:r>
      <w:r w:rsidRPr="00067504">
        <w:rPr>
          <w:rFonts w:ascii="David" w:hAnsi="David" w:cs="David" w:hint="cs"/>
          <w:sz w:val="24"/>
          <w:szCs w:val="24"/>
          <w:rtl/>
        </w:rPr>
        <w:t>,</w:t>
      </w:r>
      <w:r w:rsidRPr="00067504">
        <w:rPr>
          <w:rFonts w:ascii="David" w:hAnsi="David" w:cs="David"/>
          <w:sz w:val="24"/>
          <w:szCs w:val="24"/>
          <w:rtl/>
        </w:rPr>
        <w:t xml:space="preserve"> שאני יכול לתלות משום דמקום הוא דלא איתרמי ליה</w:t>
      </w:r>
      <w:r w:rsidRPr="00067504">
        <w:rPr>
          <w:rFonts w:ascii="David" w:hAnsi="David" w:cs="David" w:hint="cs"/>
          <w:sz w:val="24"/>
          <w:szCs w:val="24"/>
          <w:rtl/>
        </w:rPr>
        <w:t>,</w:t>
      </w:r>
      <w:r w:rsidRPr="00067504">
        <w:rPr>
          <w:rFonts w:ascii="David" w:hAnsi="David" w:cs="David"/>
          <w:sz w:val="24"/>
          <w:szCs w:val="24"/>
          <w:rtl/>
        </w:rPr>
        <w:t xml:space="preserve"> ואפילו פירש לא מהני</w:t>
      </w:r>
      <w:r w:rsidRPr="00067504">
        <w:rPr>
          <w:rFonts w:ascii="David" w:hAnsi="David" w:cs="David" w:hint="cs"/>
          <w:sz w:val="24"/>
          <w:szCs w:val="24"/>
          <w:rtl/>
        </w:rPr>
        <w:t xml:space="preserve">. </w:t>
      </w:r>
    </w:p>
    <w:p w14:paraId="03D2B04F" w14:textId="77777777" w:rsidR="00FD58DD" w:rsidRPr="00067504" w:rsidRDefault="00FD58DD" w:rsidP="00FD58DD">
      <w:pPr>
        <w:spacing w:after="0" w:line="360" w:lineRule="auto"/>
        <w:ind w:left="360"/>
        <w:rPr>
          <w:rFonts w:asciiTheme="majorBidi" w:hAnsiTheme="majorBidi" w:cs="Times New Roman"/>
          <w:sz w:val="24"/>
          <w:szCs w:val="24"/>
          <w:rtl/>
        </w:rPr>
      </w:pPr>
      <w:r w:rsidRPr="00067504">
        <w:rPr>
          <w:rFonts w:asciiTheme="majorBidi" w:hAnsiTheme="majorBidi" w:cstheme="majorBidi" w:hint="cs"/>
          <w:sz w:val="24"/>
          <w:szCs w:val="24"/>
          <w:rtl/>
        </w:rPr>
        <w:lastRenderedPageBreak/>
        <w:t>הלכה זו מנסים להוכיח מדין היפך בהם לאחר הטל, שגם שם סביר יותר שהיפך משום הטל, שהרי רק אחרי ירידתו עשה כן.</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מקור אפשרי נוסף בנושא הוא סוגיה בירושלמי: </w:t>
      </w:r>
    </w:p>
    <w:p w14:paraId="44C276E1" w14:textId="77777777" w:rsidR="00FD58DD" w:rsidRPr="00067504" w:rsidRDefault="00FD58DD" w:rsidP="00FD58DD">
      <w:pPr>
        <w:spacing w:after="0" w:line="360" w:lineRule="auto"/>
        <w:ind w:left="360"/>
        <w:rPr>
          <w:rFonts w:ascii="David" w:hAnsi="David" w:cs="David"/>
          <w:sz w:val="24"/>
          <w:szCs w:val="24"/>
          <w:rtl/>
        </w:rPr>
      </w:pPr>
      <w:r w:rsidRPr="00067504">
        <w:rPr>
          <w:rFonts w:ascii="David" w:hAnsi="David" w:cs="David"/>
          <w:sz w:val="24"/>
          <w:szCs w:val="24"/>
          <w:rtl/>
        </w:rPr>
        <w:t>משנה</w:t>
      </w:r>
      <w:r w:rsidRPr="00067504">
        <w:rPr>
          <w:rFonts w:ascii="David" w:hAnsi="David" w:cs="David" w:hint="cs"/>
          <w:sz w:val="24"/>
          <w:szCs w:val="24"/>
          <w:rtl/>
        </w:rPr>
        <w:t>.</w:t>
      </w:r>
      <w:r w:rsidRPr="00067504">
        <w:rPr>
          <w:rFonts w:ascii="David" w:hAnsi="David" w:cs="David"/>
          <w:sz w:val="24"/>
          <w:szCs w:val="24"/>
          <w:rtl/>
        </w:rPr>
        <w:t xml:space="preserve"> תינוקות שטמנו תאנים לשבת ושכח לעשרן</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לא יאכלו מוצאי שבת עד שיעשרו... גמ' רב המנונא אמר</w:t>
      </w:r>
      <w:r w:rsidRPr="00067504">
        <w:rPr>
          <w:rFonts w:ascii="David" w:hAnsi="David" w:cs="David" w:hint="cs"/>
          <w:sz w:val="24"/>
          <w:szCs w:val="24"/>
          <w:rtl/>
        </w:rPr>
        <w:t>:</w:t>
      </w:r>
      <w:r w:rsidRPr="00067504">
        <w:rPr>
          <w:rFonts w:ascii="David" w:hAnsi="David" w:cs="David"/>
          <w:sz w:val="24"/>
          <w:szCs w:val="24"/>
          <w:rtl/>
        </w:rPr>
        <w:t xml:space="preserve"> תינוק שחיפה כלכלה לשוק</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נטבלה. מקום שמחשבתו של גדול מתקיימת</w:t>
      </w:r>
      <w:r w:rsidRPr="00067504">
        <w:rPr>
          <w:rFonts w:ascii="David" w:hAnsi="David" w:cs="David" w:hint="cs"/>
          <w:sz w:val="24"/>
          <w:szCs w:val="24"/>
          <w:rtl/>
        </w:rPr>
        <w:t>,</w:t>
      </w:r>
      <w:r w:rsidRPr="00067504">
        <w:rPr>
          <w:rFonts w:ascii="David" w:hAnsi="David" w:cs="David"/>
          <w:sz w:val="24"/>
          <w:szCs w:val="24"/>
          <w:rtl/>
        </w:rPr>
        <w:t xml:space="preserve"> שם מעשיו של קטן מתקיימין... מתניתא פליגא על רב המנונא</w:t>
      </w:r>
      <w:r w:rsidRPr="00067504">
        <w:rPr>
          <w:rFonts w:ascii="David" w:hAnsi="David" w:cs="David" w:hint="cs"/>
          <w:sz w:val="24"/>
          <w:szCs w:val="24"/>
          <w:rtl/>
        </w:rPr>
        <w:t>:</w:t>
      </w:r>
      <w:r w:rsidRPr="00067504">
        <w:rPr>
          <w:rFonts w:ascii="David" w:hAnsi="David" w:cs="David"/>
          <w:sz w:val="24"/>
          <w:szCs w:val="24"/>
          <w:rtl/>
        </w:rPr>
        <w:t xml:space="preserve"> תינוקות שטמנו תאינים לשבת ושכחו לעשרן</w:t>
      </w:r>
      <w:r>
        <w:rPr>
          <w:rFonts w:ascii="David" w:hAnsi="David" w:cs="David" w:hint="cs"/>
          <w:sz w:val="24"/>
          <w:szCs w:val="24"/>
          <w:rtl/>
        </w:rPr>
        <w:t xml:space="preserve"> </w:t>
      </w:r>
      <w:r w:rsidRPr="00067504">
        <w:rPr>
          <w:rFonts w:ascii="David" w:hAnsi="David" w:cs="David" w:hint="cs"/>
          <w:sz w:val="24"/>
          <w:szCs w:val="24"/>
          <w:rtl/>
        </w:rPr>
        <w:t xml:space="preserve">- </w:t>
      </w:r>
      <w:r w:rsidRPr="00067504">
        <w:rPr>
          <w:rFonts w:ascii="David" w:hAnsi="David" w:cs="David"/>
          <w:sz w:val="24"/>
          <w:szCs w:val="24"/>
          <w:rtl/>
        </w:rPr>
        <w:t>לא יאכלו למוצאי שבת עד שיתעשרו. ר' זעירא בשם רב המנונא</w:t>
      </w:r>
      <w:r w:rsidRPr="00067504">
        <w:rPr>
          <w:rFonts w:ascii="David" w:hAnsi="David" w:cs="David" w:hint="cs"/>
          <w:sz w:val="24"/>
          <w:szCs w:val="24"/>
          <w:rtl/>
        </w:rPr>
        <w:t>:</w:t>
      </w:r>
      <w:r w:rsidRPr="00067504">
        <w:rPr>
          <w:rFonts w:ascii="David" w:hAnsi="David" w:cs="David"/>
          <w:sz w:val="24"/>
          <w:szCs w:val="24"/>
          <w:rtl/>
        </w:rPr>
        <w:t xml:space="preserve"> תפתר בשלקטום עם דמדומי חמה</w:t>
      </w:r>
      <w:r w:rsidRPr="00067504">
        <w:rPr>
          <w:rFonts w:ascii="David" w:hAnsi="David" w:cs="David" w:hint="cs"/>
          <w:sz w:val="24"/>
          <w:szCs w:val="24"/>
          <w:rtl/>
        </w:rPr>
        <w:t>,</w:t>
      </w:r>
      <w:r w:rsidRPr="00067504">
        <w:rPr>
          <w:rFonts w:ascii="David" w:hAnsi="David" w:cs="David"/>
          <w:sz w:val="24"/>
          <w:szCs w:val="24"/>
          <w:rtl/>
        </w:rPr>
        <w:t xml:space="preserve"> והוכיח מעשה שלהן על מחשבתן</w:t>
      </w:r>
      <w:r w:rsidRPr="00067504">
        <w:rPr>
          <w:rStyle w:val="a5"/>
          <w:rFonts w:ascii="David" w:hAnsi="David" w:cs="David"/>
          <w:sz w:val="24"/>
          <w:szCs w:val="24"/>
          <w:rtl/>
        </w:rPr>
        <w:footnoteReference w:id="13"/>
      </w:r>
      <w:r w:rsidRPr="00067504">
        <w:rPr>
          <w:rFonts w:ascii="David" w:hAnsi="David" w:cs="David"/>
          <w:sz w:val="24"/>
          <w:szCs w:val="24"/>
          <w:rtl/>
        </w:rPr>
        <w:t>.</w:t>
      </w:r>
      <w:r w:rsidRPr="00067504">
        <w:rPr>
          <w:rFonts w:ascii="David" w:hAnsi="David" w:cs="David" w:hint="cs"/>
          <w:sz w:val="24"/>
          <w:szCs w:val="24"/>
          <w:rtl/>
        </w:rPr>
        <w:t xml:space="preserve"> </w:t>
      </w:r>
    </w:p>
    <w:p w14:paraId="735767B5"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הקשו על רב המנונא שמעשה קטן חל אפילו ללא ראיה לפשר מעשהו, שהרי התאנים נטבלו למרות שאין ראיה שיועדו לשבת. כדי להשיב על כך מעמיד הירושלמי שלקטו בין השמשות, ומכך מוכח שלשם שבת עשו כן. הפשט כאן הוא לכאורה כדברי התוספות. בכל מקרה פלא הוא שסוגיה זו לא צוטטה כאן</w:t>
      </w:r>
      <w:r w:rsidRPr="00067504">
        <w:rPr>
          <w:rStyle w:val="a5"/>
          <w:rFonts w:asciiTheme="majorBidi" w:hAnsiTheme="majorBidi" w:cstheme="majorBidi"/>
          <w:sz w:val="24"/>
          <w:szCs w:val="24"/>
          <w:rtl/>
        </w:rPr>
        <w:footnoteReference w:id="14"/>
      </w:r>
      <w:r w:rsidRPr="00067504">
        <w:rPr>
          <w:rFonts w:asciiTheme="majorBidi" w:hAnsiTheme="majorBidi" w:cstheme="majorBidi" w:hint="cs"/>
          <w:sz w:val="24"/>
          <w:szCs w:val="24"/>
          <w:rtl/>
        </w:rPr>
        <w:t>.</w:t>
      </w:r>
    </w:p>
    <w:p w14:paraId="7B328003" w14:textId="77777777" w:rsidR="00FD58DD" w:rsidRPr="00067504" w:rsidRDefault="00FD58DD" w:rsidP="00FD58DD">
      <w:pPr>
        <w:pStyle w:val="a6"/>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 xml:space="preserve">ג. </w:t>
      </w:r>
      <w:r w:rsidRPr="00067504">
        <w:rPr>
          <w:rFonts w:asciiTheme="majorBidi" w:hAnsiTheme="majorBidi" w:cstheme="majorBidi"/>
          <w:b/>
          <w:bCs/>
          <w:sz w:val="24"/>
          <w:szCs w:val="24"/>
          <w:rtl/>
        </w:rPr>
        <w:t>בירור שיטת רש"י</w:t>
      </w:r>
    </w:p>
    <w:p w14:paraId="5B65FDA2" w14:textId="77777777" w:rsidR="00FD58DD" w:rsidRPr="00067504" w:rsidRDefault="00FD58DD" w:rsidP="00FD58DD">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לגבי העלאת פירות כתב רש"י: </w:t>
      </w:r>
      <w:r w:rsidRPr="00067504">
        <w:rPr>
          <w:rFonts w:ascii="David" w:hAnsi="David" w:cs="David"/>
          <w:sz w:val="24"/>
          <w:szCs w:val="24"/>
          <w:rtl/>
        </w:rPr>
        <w:t>"דאי בשפירש מחשבתו בשעת מעשה</w:t>
      </w:r>
      <w:r w:rsidRPr="00067504">
        <w:rPr>
          <w:rFonts w:ascii="David" w:hAnsi="David" w:cs="David" w:hint="cs"/>
          <w:sz w:val="24"/>
          <w:szCs w:val="24"/>
          <w:rtl/>
        </w:rPr>
        <w:t>,</w:t>
      </w:r>
      <w:r w:rsidRPr="00067504">
        <w:rPr>
          <w:rFonts w:ascii="David" w:hAnsi="David" w:cs="David"/>
          <w:sz w:val="24"/>
          <w:szCs w:val="24"/>
          <w:rtl/>
        </w:rPr>
        <w:t xml:space="preserve"> לא איצטריך רבי יוחנן לאשמועינן</w:t>
      </w:r>
      <w:r w:rsidRPr="00067504">
        <w:rPr>
          <w:rFonts w:ascii="David" w:hAnsi="David" w:cs="David" w:hint="cs"/>
          <w:sz w:val="24"/>
          <w:szCs w:val="24"/>
          <w:rtl/>
        </w:rPr>
        <w:t>,</w:t>
      </w:r>
      <w:r w:rsidRPr="00067504">
        <w:rPr>
          <w:rFonts w:ascii="David" w:hAnsi="David" w:cs="David"/>
          <w:sz w:val="24"/>
          <w:szCs w:val="24"/>
          <w:rtl/>
        </w:rPr>
        <w:t xml:space="preserve"> דהא בהדיא תנן דיש להן מעשה</w:t>
      </w:r>
      <w:r w:rsidRPr="00067504">
        <w:rPr>
          <w:rStyle w:val="a5"/>
          <w:rFonts w:ascii="David" w:hAnsi="David" w:cs="David"/>
          <w:sz w:val="24"/>
          <w:szCs w:val="24"/>
          <w:rtl/>
        </w:rPr>
        <w:footnoteReference w:id="15"/>
      </w:r>
      <w:r w:rsidRPr="00067504">
        <w:rPr>
          <w:rFonts w:ascii="David" w:hAnsi="David" w:cs="David"/>
          <w:sz w:val="24"/>
          <w:szCs w:val="24"/>
          <w:rtl/>
        </w:rPr>
        <w:t>".</w:t>
      </w:r>
      <w:r w:rsidRPr="00067504">
        <w:rPr>
          <w:rFonts w:asciiTheme="majorBidi" w:hAnsiTheme="majorBidi" w:cstheme="majorBidi" w:hint="cs"/>
          <w:sz w:val="24"/>
          <w:szCs w:val="24"/>
          <w:rtl/>
        </w:rPr>
        <w:t xml:space="preserve"> משמע שדיבור יכול להועיל גם בשעת העלאת הפירות, למרות שהמעשה עצמו איננו מוכיח דבר</w:t>
      </w:r>
      <w:r w:rsidRPr="00067504">
        <w:rPr>
          <w:rStyle w:val="a5"/>
          <w:rFonts w:asciiTheme="majorBidi" w:hAnsiTheme="majorBidi" w:cstheme="majorBidi"/>
          <w:sz w:val="24"/>
          <w:szCs w:val="24"/>
          <w:rtl/>
        </w:rPr>
        <w:footnoteReference w:id="16"/>
      </w:r>
      <w:r w:rsidRPr="00067504">
        <w:rPr>
          <w:rFonts w:asciiTheme="majorBidi" w:hAnsiTheme="majorBidi" w:cstheme="majorBidi" w:hint="cs"/>
          <w:sz w:val="24"/>
          <w:szCs w:val="24"/>
          <w:rtl/>
        </w:rPr>
        <w:t>. אולם יש שאימצו חלקית את ההגדרות של תוספות, ונטו לומר ש"</w:t>
      </w:r>
      <w:r w:rsidRPr="00067504">
        <w:rPr>
          <w:rFonts w:ascii="David" w:hAnsi="David" w:cs="David" w:hint="cs"/>
          <w:sz w:val="24"/>
          <w:szCs w:val="24"/>
          <w:rtl/>
        </w:rPr>
        <w:t>כיוון שהמעשה עצמו גרוע... אמירת הקטן מעלה אותו רק בדרגה אחת ונותנת לו תוקף מדרבנן אך לא מדאורייתא</w:t>
      </w:r>
      <w:r w:rsidRPr="00067504">
        <w:rPr>
          <w:rStyle w:val="a5"/>
          <w:rFonts w:ascii="David" w:hAnsi="David" w:cs="David"/>
          <w:sz w:val="24"/>
          <w:szCs w:val="24"/>
          <w:rtl/>
        </w:rPr>
        <w:footnoteReference w:id="17"/>
      </w:r>
      <w:r w:rsidRPr="00067504">
        <w:rPr>
          <w:rFonts w:ascii="David" w:hAnsi="David" w:cs="David" w:hint="cs"/>
          <w:sz w:val="24"/>
          <w:szCs w:val="24"/>
          <w:rtl/>
        </w:rPr>
        <w:t xml:space="preserve">". </w:t>
      </w:r>
    </w:p>
    <w:p w14:paraId="72C00425"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בשיטה מקובצת נקט יישום נוסף של ה</w:t>
      </w:r>
      <w:r w:rsidRPr="00067504">
        <w:rPr>
          <w:rFonts w:asciiTheme="majorBidi" w:hAnsiTheme="majorBidi" w:cstheme="majorBidi" w:hint="cs"/>
          <w:sz w:val="24"/>
          <w:szCs w:val="24"/>
          <w:rtl/>
        </w:rPr>
        <w:t>ה</w:t>
      </w:r>
      <w:r w:rsidRPr="00067504">
        <w:rPr>
          <w:rFonts w:asciiTheme="majorBidi" w:hAnsiTheme="majorBidi" w:cstheme="majorBidi"/>
          <w:sz w:val="24"/>
          <w:szCs w:val="24"/>
          <w:rtl/>
        </w:rPr>
        <w:t>בחנות בין המעשים: גם חקיקת כלי עץ מאגוז איננה מעשה שלם. היא זקוקה לאמירת הקטן, מאחר שניתן לייחס פרשנות שונה למעשהו, הלוא היא אכילת האגוז. אולם במקרה שאין כל פירוש אחר למעשה, כגון שהעץ איננו אכיל, אין צורך באמירה</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שמעשה גמור הוא.</w:t>
      </w:r>
    </w:p>
    <w:tbl>
      <w:tblPr>
        <w:tblStyle w:val="a7"/>
        <w:bidiVisual/>
        <w:tblW w:w="0" w:type="auto"/>
        <w:tblLook w:val="04A0" w:firstRow="1" w:lastRow="0" w:firstColumn="1" w:lastColumn="0" w:noHBand="0" w:noVBand="1"/>
      </w:tblPr>
      <w:tblGrid>
        <w:gridCol w:w="1089"/>
        <w:gridCol w:w="2268"/>
        <w:gridCol w:w="3260"/>
        <w:gridCol w:w="3119"/>
      </w:tblGrid>
      <w:tr w:rsidR="00FD58DD" w:rsidRPr="00067504" w14:paraId="3A0192DE" w14:textId="77777777" w:rsidTr="00290FA0">
        <w:tc>
          <w:tcPr>
            <w:tcW w:w="1089" w:type="dxa"/>
          </w:tcPr>
          <w:p w14:paraId="4B6BE68B"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הגדרה</w:t>
            </w:r>
            <w:r w:rsidRPr="00067504">
              <w:rPr>
                <w:rStyle w:val="a5"/>
                <w:rFonts w:asciiTheme="majorBidi" w:hAnsiTheme="majorBidi" w:cstheme="majorBidi"/>
                <w:sz w:val="24"/>
                <w:szCs w:val="24"/>
                <w:rtl/>
              </w:rPr>
              <w:footnoteReference w:id="18"/>
            </w:r>
          </w:p>
        </w:tc>
        <w:tc>
          <w:tcPr>
            <w:tcW w:w="2268" w:type="dxa"/>
          </w:tcPr>
          <w:p w14:paraId="057839F1"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מעשה גמור ללא אמירה</w:t>
            </w:r>
          </w:p>
        </w:tc>
        <w:tc>
          <w:tcPr>
            <w:tcW w:w="3260" w:type="dxa"/>
          </w:tcPr>
          <w:p w14:paraId="7053850D"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מעשה שאינו גמור עם אמירה</w:t>
            </w:r>
          </w:p>
        </w:tc>
        <w:tc>
          <w:tcPr>
            <w:tcW w:w="3119" w:type="dxa"/>
          </w:tcPr>
          <w:p w14:paraId="4F242DE5"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מעשה גרוע עם אמירה</w:t>
            </w:r>
          </w:p>
        </w:tc>
      </w:tr>
      <w:tr w:rsidR="00FD58DD" w:rsidRPr="00067504" w14:paraId="72468FA0" w14:textId="77777777" w:rsidTr="00290FA0">
        <w:tc>
          <w:tcPr>
            <w:tcW w:w="1089" w:type="dxa"/>
          </w:tcPr>
          <w:p w14:paraId="696C1EF8"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דוגמה</w:t>
            </w:r>
          </w:p>
        </w:tc>
        <w:tc>
          <w:tcPr>
            <w:tcW w:w="2268" w:type="dxa"/>
          </w:tcPr>
          <w:p w14:paraId="73ED0581"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חקק באגוז</w:t>
            </w:r>
          </w:p>
        </w:tc>
        <w:tc>
          <w:tcPr>
            <w:tcW w:w="3260" w:type="dxa"/>
          </w:tcPr>
          <w:p w14:paraId="66F917E7"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העביר עולה לצפון ונימק שזה מקומה</w:t>
            </w:r>
          </w:p>
        </w:tc>
        <w:tc>
          <w:tcPr>
            <w:tcW w:w="3119" w:type="dxa"/>
          </w:tcPr>
          <w:p w14:paraId="7D16E470"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העלה פירות לגג ונימק שרצונו בטל</w:t>
            </w:r>
          </w:p>
        </w:tc>
      </w:tr>
      <w:tr w:rsidR="00FD58DD" w:rsidRPr="00067504" w14:paraId="0CCA2054" w14:textId="77777777" w:rsidTr="00290FA0">
        <w:tc>
          <w:tcPr>
            <w:tcW w:w="1089" w:type="dxa"/>
          </w:tcPr>
          <w:p w14:paraId="1800DF8B"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רש"י</w:t>
            </w:r>
          </w:p>
        </w:tc>
        <w:tc>
          <w:tcPr>
            <w:tcW w:w="2268" w:type="dxa"/>
          </w:tcPr>
          <w:p w14:paraId="748C990E"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מועיל מדרבנן</w:t>
            </w:r>
            <w:r w:rsidRPr="00067504">
              <w:rPr>
                <w:rStyle w:val="a5"/>
                <w:rFonts w:asciiTheme="majorBidi" w:hAnsiTheme="majorBidi" w:cstheme="majorBidi"/>
                <w:sz w:val="24"/>
                <w:szCs w:val="24"/>
                <w:rtl/>
              </w:rPr>
              <w:footnoteReference w:id="19"/>
            </w:r>
          </w:p>
        </w:tc>
        <w:tc>
          <w:tcPr>
            <w:tcW w:w="3260" w:type="dxa"/>
          </w:tcPr>
          <w:p w14:paraId="50D8ABD1"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מועיל מדאורייתא</w:t>
            </w:r>
          </w:p>
        </w:tc>
        <w:tc>
          <w:tcPr>
            <w:tcW w:w="3119" w:type="dxa"/>
          </w:tcPr>
          <w:p w14:paraId="234442F9"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מועיל מדרבנן</w:t>
            </w:r>
          </w:p>
        </w:tc>
      </w:tr>
      <w:tr w:rsidR="00FD58DD" w:rsidRPr="00067504" w14:paraId="21A38553" w14:textId="77777777" w:rsidTr="00290FA0">
        <w:tc>
          <w:tcPr>
            <w:tcW w:w="1089" w:type="dxa"/>
          </w:tcPr>
          <w:p w14:paraId="4146F023"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תוספות</w:t>
            </w:r>
          </w:p>
        </w:tc>
        <w:tc>
          <w:tcPr>
            <w:tcW w:w="2268" w:type="dxa"/>
          </w:tcPr>
          <w:p w14:paraId="59773C57"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מועיל מדאורייתא</w:t>
            </w:r>
          </w:p>
        </w:tc>
        <w:tc>
          <w:tcPr>
            <w:tcW w:w="3260" w:type="dxa"/>
          </w:tcPr>
          <w:p w14:paraId="4E52B656"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מועיל מדרבנן</w:t>
            </w:r>
            <w:r w:rsidRPr="00067504">
              <w:rPr>
                <w:rStyle w:val="a5"/>
                <w:rFonts w:asciiTheme="majorBidi" w:hAnsiTheme="majorBidi" w:cstheme="majorBidi"/>
                <w:sz w:val="24"/>
                <w:szCs w:val="24"/>
                <w:rtl/>
              </w:rPr>
              <w:footnoteReference w:id="20"/>
            </w:r>
          </w:p>
        </w:tc>
        <w:tc>
          <w:tcPr>
            <w:tcW w:w="3119" w:type="dxa"/>
          </w:tcPr>
          <w:p w14:paraId="5629EE30" w14:textId="77777777" w:rsidR="00FD58DD" w:rsidRPr="00067504" w:rsidRDefault="00FD58DD" w:rsidP="00290FA0">
            <w:pPr>
              <w:spacing w:line="360" w:lineRule="auto"/>
              <w:rPr>
                <w:rFonts w:asciiTheme="majorBidi" w:hAnsiTheme="majorBidi" w:cstheme="majorBidi"/>
                <w:sz w:val="24"/>
                <w:szCs w:val="24"/>
                <w:rtl/>
              </w:rPr>
            </w:pPr>
            <w:r w:rsidRPr="00067504">
              <w:rPr>
                <w:rFonts w:asciiTheme="majorBidi" w:hAnsiTheme="majorBidi" w:cstheme="majorBidi" w:hint="cs"/>
                <w:sz w:val="24"/>
                <w:szCs w:val="24"/>
                <w:rtl/>
              </w:rPr>
              <w:t>אינו מועיל כלל</w:t>
            </w:r>
            <w:r w:rsidRPr="00067504">
              <w:rPr>
                <w:rStyle w:val="a5"/>
                <w:rFonts w:asciiTheme="majorBidi" w:hAnsiTheme="majorBidi" w:cstheme="majorBidi"/>
                <w:sz w:val="24"/>
                <w:szCs w:val="24"/>
                <w:rtl/>
              </w:rPr>
              <w:footnoteReference w:id="21"/>
            </w:r>
          </w:p>
        </w:tc>
      </w:tr>
    </w:tbl>
    <w:p w14:paraId="193E8B7C" w14:textId="77777777" w:rsidR="00FD58DD" w:rsidRPr="00067504" w:rsidRDefault="00FD58DD" w:rsidP="00FD58DD">
      <w:pPr>
        <w:spacing w:after="0" w:line="360" w:lineRule="auto"/>
        <w:rPr>
          <w:rFonts w:asciiTheme="majorBidi" w:hAnsiTheme="majorBidi" w:cstheme="majorBidi"/>
          <w:b/>
          <w:bCs/>
          <w:sz w:val="24"/>
          <w:szCs w:val="24"/>
          <w:rtl/>
        </w:rPr>
      </w:pPr>
    </w:p>
    <w:p w14:paraId="0F79CEB8" w14:textId="77777777" w:rsidR="00FD58DD" w:rsidRPr="00067504" w:rsidRDefault="00FD58DD" w:rsidP="00FD58DD">
      <w:pPr>
        <w:pStyle w:val="a6"/>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ד</w:t>
      </w:r>
      <w:r w:rsidRPr="00067504">
        <w:rPr>
          <w:rFonts w:asciiTheme="majorBidi" w:hAnsiTheme="majorBidi" w:cstheme="majorBidi"/>
          <w:b/>
          <w:bCs/>
          <w:sz w:val="24"/>
          <w:szCs w:val="24"/>
          <w:rtl/>
        </w:rPr>
        <w:t>. שיטת הרמב"ם</w:t>
      </w:r>
    </w:p>
    <w:p w14:paraId="4EFC24F0"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הרמב"ם פוסק כלשון השנייה: </w:t>
      </w:r>
    </w:p>
    <w:p w14:paraId="3A21D897" w14:textId="77777777" w:rsidR="00FD58DD" w:rsidRPr="00067504" w:rsidRDefault="00FD58DD" w:rsidP="00FD58DD">
      <w:pPr>
        <w:spacing w:after="0" w:line="360" w:lineRule="auto"/>
        <w:ind w:left="720"/>
        <w:rPr>
          <w:rFonts w:asciiTheme="majorBidi" w:hAnsiTheme="majorBidi" w:cstheme="majorBidi"/>
          <w:sz w:val="24"/>
          <w:szCs w:val="24"/>
          <w:rtl/>
        </w:rPr>
      </w:pPr>
      <w:r w:rsidRPr="00067504">
        <w:rPr>
          <w:rFonts w:ascii="David" w:hAnsi="David" w:cs="David"/>
          <w:sz w:val="24"/>
          <w:szCs w:val="24"/>
          <w:rtl/>
        </w:rPr>
        <w:lastRenderedPageBreak/>
        <w:t xml:space="preserve">הקטן אינו שוחט קדשים אף על פי שהגדול עומד על גביו, שהקדשים צריכין מחשבה וקטן אין לו מחשבה, אפילו </w:t>
      </w:r>
      <w:r w:rsidRPr="00067504">
        <w:rPr>
          <w:rFonts w:ascii="David" w:hAnsi="David" w:cs="David"/>
          <w:b/>
          <w:bCs/>
          <w:sz w:val="24"/>
          <w:szCs w:val="24"/>
          <w:rtl/>
        </w:rPr>
        <w:t>היתה מחשבתו ניכרת מתוך מעשיו אינה מחשבה להקל אלא להחמיר</w:t>
      </w:r>
      <w:r>
        <w:rPr>
          <w:rFonts w:ascii="David" w:hAnsi="David" w:cs="David" w:hint="cs"/>
          <w:sz w:val="24"/>
          <w:szCs w:val="24"/>
          <w:rtl/>
        </w:rPr>
        <w:t>.</w:t>
      </w:r>
      <w:r w:rsidRPr="00067504">
        <w:rPr>
          <w:rFonts w:ascii="David" w:hAnsi="David" w:cs="David"/>
          <w:sz w:val="24"/>
          <w:szCs w:val="24"/>
          <w:rtl/>
        </w:rPr>
        <w:t xml:space="preserve"> כיצד</w:t>
      </w:r>
      <w:r>
        <w:rPr>
          <w:rFonts w:ascii="David" w:hAnsi="David" w:cs="David" w:hint="cs"/>
          <w:sz w:val="24"/>
          <w:szCs w:val="24"/>
          <w:rtl/>
        </w:rPr>
        <w:t>,</w:t>
      </w:r>
      <w:r w:rsidRPr="00067504">
        <w:rPr>
          <w:rFonts w:ascii="David" w:hAnsi="David" w:cs="David"/>
          <w:sz w:val="24"/>
          <w:szCs w:val="24"/>
          <w:rtl/>
        </w:rPr>
        <w:t xml:space="preserve"> היתה עולה עומדת בדרום ומשכה הקטן והביאה לצפון ושחטה</w:t>
      </w:r>
      <w:r w:rsidRPr="00067504">
        <w:rPr>
          <w:rFonts w:ascii="David" w:hAnsi="David" w:cs="David" w:hint="cs"/>
          <w:sz w:val="24"/>
          <w:szCs w:val="24"/>
          <w:rtl/>
        </w:rPr>
        <w:t>,</w:t>
      </w:r>
      <w:r w:rsidRPr="00067504">
        <w:rPr>
          <w:rFonts w:ascii="David" w:hAnsi="David" w:cs="David"/>
          <w:sz w:val="24"/>
          <w:szCs w:val="24"/>
          <w:rtl/>
        </w:rPr>
        <w:t xml:space="preserve"> שהרי ממעשיו ניכר שמחשבתו לשחיטת קדשים </w:t>
      </w:r>
      <w:r w:rsidRPr="00067504">
        <w:rPr>
          <w:rFonts w:ascii="David" w:hAnsi="David" w:cs="David" w:hint="cs"/>
          <w:sz w:val="24"/>
          <w:szCs w:val="24"/>
          <w:rtl/>
        </w:rPr>
        <w:t xml:space="preserve">- </w:t>
      </w:r>
      <w:r w:rsidRPr="00067504">
        <w:rPr>
          <w:rFonts w:ascii="David" w:hAnsi="David" w:cs="David"/>
          <w:sz w:val="24"/>
          <w:szCs w:val="24"/>
          <w:rtl/>
        </w:rPr>
        <w:t>הרי זו פסולה</w:t>
      </w:r>
      <w:r w:rsidRPr="00067504">
        <w:rPr>
          <w:rStyle w:val="a5"/>
          <w:rFonts w:ascii="David" w:hAnsi="David" w:cs="David"/>
          <w:sz w:val="24"/>
          <w:szCs w:val="24"/>
          <w:rtl/>
        </w:rPr>
        <w:footnoteReference w:id="22"/>
      </w:r>
      <w:r w:rsidRPr="00067504">
        <w:rPr>
          <w:rFonts w:ascii="David" w:hAnsi="David" w:cs="David"/>
          <w:sz w:val="24"/>
          <w:szCs w:val="24"/>
          <w:rtl/>
        </w:rPr>
        <w:t>.</w:t>
      </w:r>
    </w:p>
    <w:p w14:paraId="3F7EE4AF" w14:textId="77777777" w:rsidR="00FD58DD" w:rsidRPr="00067504" w:rsidRDefault="00FD58DD" w:rsidP="00FD58DD">
      <w:pPr>
        <w:spacing w:after="0" w:line="360" w:lineRule="auto"/>
        <w:ind w:left="720"/>
        <w:rPr>
          <w:rFonts w:asciiTheme="majorBidi" w:hAnsiTheme="majorBidi" w:cstheme="majorBidi"/>
          <w:b/>
          <w:bCs/>
          <w:sz w:val="24"/>
          <w:szCs w:val="24"/>
          <w:rtl/>
        </w:rPr>
      </w:pPr>
      <w:r w:rsidRPr="00067504">
        <w:rPr>
          <w:rFonts w:ascii="David" w:hAnsi="David" w:cs="David"/>
          <w:sz w:val="24"/>
          <w:szCs w:val="24"/>
          <w:rtl/>
        </w:rPr>
        <w:t>המעלה פירותיו לגג מפני הכנימה וירד עליהן הטל לא הוכשר, ואם נתכוון שירד עליהן הטל הוכשרו</w:t>
      </w:r>
      <w:r w:rsidRPr="00067504">
        <w:rPr>
          <w:rFonts w:ascii="David" w:hAnsi="David" w:cs="David" w:hint="cs"/>
          <w:sz w:val="24"/>
          <w:szCs w:val="24"/>
          <w:rtl/>
        </w:rPr>
        <w:t>.</w:t>
      </w:r>
      <w:r w:rsidRPr="00067504">
        <w:rPr>
          <w:rFonts w:ascii="David" w:hAnsi="David" w:cs="David"/>
          <w:sz w:val="24"/>
          <w:szCs w:val="24"/>
          <w:rtl/>
        </w:rPr>
        <w:t xml:space="preserve"> לפיכך</w:t>
      </w:r>
      <w:r w:rsidRPr="00067504">
        <w:rPr>
          <w:rFonts w:ascii="David" w:hAnsi="David" w:cs="David" w:hint="cs"/>
          <w:sz w:val="24"/>
          <w:szCs w:val="24"/>
          <w:rtl/>
        </w:rPr>
        <w:t>,</w:t>
      </w:r>
      <w:r w:rsidRPr="00067504">
        <w:rPr>
          <w:rFonts w:ascii="David" w:hAnsi="David" w:cs="David"/>
          <w:sz w:val="24"/>
          <w:szCs w:val="24"/>
          <w:rtl/>
        </w:rPr>
        <w:t xml:space="preserve"> אם העלום חרש שוטה וקטן</w:t>
      </w:r>
      <w:r w:rsidRPr="00067504">
        <w:rPr>
          <w:rFonts w:ascii="David" w:hAnsi="David" w:cs="David" w:hint="cs"/>
          <w:sz w:val="24"/>
          <w:szCs w:val="24"/>
          <w:rtl/>
        </w:rPr>
        <w:t>,</w:t>
      </w:r>
      <w:r w:rsidRPr="00067504">
        <w:rPr>
          <w:rFonts w:ascii="David" w:hAnsi="David" w:cs="David"/>
          <w:sz w:val="24"/>
          <w:szCs w:val="24"/>
          <w:rtl/>
        </w:rPr>
        <w:t xml:space="preserve"> אף על פי שחישבו שירד הטל עליהן</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לא הוכשרו</w:t>
      </w:r>
      <w:r w:rsidRPr="00067504">
        <w:rPr>
          <w:rFonts w:ascii="David" w:hAnsi="David" w:cs="David" w:hint="cs"/>
          <w:sz w:val="24"/>
          <w:szCs w:val="24"/>
          <w:rtl/>
        </w:rPr>
        <w:t>,</w:t>
      </w:r>
      <w:r w:rsidRPr="00067504">
        <w:rPr>
          <w:rFonts w:ascii="David" w:hAnsi="David" w:cs="David"/>
          <w:sz w:val="24"/>
          <w:szCs w:val="24"/>
          <w:rtl/>
        </w:rPr>
        <w:t xml:space="preserve"> שיש </w:t>
      </w:r>
      <w:r>
        <w:rPr>
          <w:rFonts w:ascii="David" w:hAnsi="David" w:cs="David" w:hint="cs"/>
          <w:sz w:val="24"/>
          <w:szCs w:val="24"/>
          <w:rtl/>
        </w:rPr>
        <w:t xml:space="preserve">להן </w:t>
      </w:r>
      <w:r w:rsidRPr="00067504">
        <w:rPr>
          <w:rFonts w:ascii="David" w:hAnsi="David" w:cs="David"/>
          <w:sz w:val="24"/>
          <w:szCs w:val="24"/>
          <w:rtl/>
        </w:rPr>
        <w:t>מעשה דין תורה ואין להן מחשבה אפילו מדברי סופרים</w:t>
      </w:r>
      <w:r w:rsidRPr="00067504">
        <w:rPr>
          <w:rFonts w:ascii="David" w:hAnsi="David" w:cs="David" w:hint="cs"/>
          <w:sz w:val="24"/>
          <w:szCs w:val="24"/>
          <w:rtl/>
        </w:rPr>
        <w:t>.</w:t>
      </w:r>
      <w:r w:rsidRPr="00067504">
        <w:rPr>
          <w:rFonts w:ascii="David" w:hAnsi="David" w:cs="David"/>
          <w:sz w:val="24"/>
          <w:szCs w:val="24"/>
          <w:rtl/>
        </w:rPr>
        <w:t xml:space="preserve"> הפכו בהן קטנים על הגג הרי אלו מוכשרין</w:t>
      </w:r>
      <w:r w:rsidRPr="00067504">
        <w:rPr>
          <w:rFonts w:ascii="David" w:hAnsi="David" w:cs="David" w:hint="cs"/>
          <w:sz w:val="24"/>
          <w:szCs w:val="24"/>
          <w:rtl/>
        </w:rPr>
        <w:t>,</w:t>
      </w:r>
      <w:r w:rsidRPr="00067504">
        <w:rPr>
          <w:rFonts w:ascii="David" w:hAnsi="David" w:cs="David"/>
          <w:sz w:val="24"/>
          <w:szCs w:val="24"/>
          <w:rtl/>
        </w:rPr>
        <w:t xml:space="preserve"> שאם היתה מחשבה של קטן ניכרת מתוך מעשיו מחשבתו </w:t>
      </w:r>
      <w:r w:rsidRPr="00067504">
        <w:rPr>
          <w:rFonts w:ascii="David" w:hAnsi="David" w:cs="David"/>
          <w:b/>
          <w:bCs/>
          <w:sz w:val="24"/>
          <w:szCs w:val="24"/>
          <w:rtl/>
        </w:rPr>
        <w:t>מועלת מדבריהן</w:t>
      </w:r>
      <w:r w:rsidRPr="00067504">
        <w:rPr>
          <w:rStyle w:val="a5"/>
          <w:rFonts w:ascii="David" w:hAnsi="David" w:cs="David"/>
          <w:sz w:val="24"/>
          <w:szCs w:val="24"/>
          <w:rtl/>
        </w:rPr>
        <w:footnoteReference w:id="23"/>
      </w:r>
      <w:r w:rsidRPr="00067504">
        <w:rPr>
          <w:rFonts w:ascii="David" w:hAnsi="David" w:cs="David"/>
          <w:sz w:val="24"/>
          <w:szCs w:val="24"/>
          <w:rtl/>
        </w:rPr>
        <w:t>.</w:t>
      </w:r>
      <w:r w:rsidRPr="00067504">
        <w:rPr>
          <w:rFonts w:ascii="David" w:hAnsi="David" w:cs="David" w:hint="cs"/>
          <w:sz w:val="24"/>
          <w:szCs w:val="24"/>
          <w:rtl/>
        </w:rPr>
        <w:t xml:space="preserve"> </w:t>
      </w:r>
    </w:p>
    <w:p w14:paraId="0217E086" w14:textId="77777777" w:rsidR="00FD58DD" w:rsidRPr="00067504" w:rsidRDefault="00FD58DD" w:rsidP="00FD58DD">
      <w:pPr>
        <w:pStyle w:val="a6"/>
        <w:spacing w:after="0" w:line="360" w:lineRule="auto"/>
        <w:rPr>
          <w:rFonts w:ascii="David" w:hAnsi="David" w:cs="David"/>
          <w:sz w:val="24"/>
          <w:szCs w:val="24"/>
          <w:rtl/>
        </w:rPr>
      </w:pPr>
      <w:r w:rsidRPr="00067504">
        <w:rPr>
          <w:rFonts w:asciiTheme="majorBidi" w:hAnsiTheme="majorBidi" w:cstheme="majorBidi" w:hint="cs"/>
          <w:sz w:val="24"/>
          <w:szCs w:val="24"/>
          <w:rtl/>
        </w:rPr>
        <w:t>אם כן, הרמב"ם פוסק שעולה שהעבירה קטן לצפון פסולה, שמחשבתו מועילה רק להחמיר. לא חילק הרמב"ם בדין על פי השאלה אם אמר הקטן שכוונתו להקריבה במקומה. לפיכך ניתן להבין שדעתו כתוספות</w:t>
      </w:r>
      <w:r w:rsidRPr="00067504">
        <w:rPr>
          <w:rStyle w:val="a5"/>
          <w:rFonts w:asciiTheme="majorBidi" w:hAnsiTheme="majorBidi" w:cstheme="majorBidi"/>
          <w:sz w:val="24"/>
          <w:szCs w:val="24"/>
          <w:rtl/>
        </w:rPr>
        <w:footnoteReference w:id="24"/>
      </w:r>
      <w:r w:rsidRPr="00067504">
        <w:rPr>
          <w:rFonts w:asciiTheme="majorBidi" w:hAnsiTheme="majorBidi" w:cstheme="majorBidi" w:hint="cs"/>
          <w:sz w:val="24"/>
          <w:szCs w:val="24"/>
          <w:rtl/>
        </w:rPr>
        <w:t xml:space="preserve">. בדומה לכך הוא פוסק: </w:t>
      </w:r>
    </w:p>
    <w:p w14:paraId="690D2B13" w14:textId="77777777" w:rsidR="00FD58DD" w:rsidRPr="00067504" w:rsidRDefault="00FD58DD" w:rsidP="00FD58DD">
      <w:pPr>
        <w:pStyle w:val="a6"/>
        <w:spacing w:after="0" w:line="360" w:lineRule="auto"/>
        <w:ind w:left="1440"/>
        <w:rPr>
          <w:rFonts w:asciiTheme="majorBidi" w:hAnsiTheme="majorBidi" w:cstheme="majorBidi"/>
          <w:sz w:val="24"/>
          <w:szCs w:val="24"/>
          <w:rtl/>
        </w:rPr>
      </w:pPr>
      <w:r w:rsidRPr="00067504">
        <w:rPr>
          <w:rFonts w:ascii="David" w:hAnsi="David" w:cs="David"/>
          <w:sz w:val="24"/>
          <w:szCs w:val="24"/>
          <w:rtl/>
        </w:rPr>
        <w:t>קליפת הרימון והאגוז והאלון אפילו חקקום התינוקות למוד בהן את העפר, או שהתקינום לכף מאזנים, הרי אלו מקבלין טומאה, שתינוק חרש שוטה וקטן יש להן מעשה אף על פי שאין להן מחשבה</w:t>
      </w:r>
      <w:r w:rsidRPr="00067504">
        <w:rPr>
          <w:rStyle w:val="a5"/>
          <w:rFonts w:ascii="David" w:hAnsi="David" w:cs="David"/>
          <w:sz w:val="24"/>
          <w:szCs w:val="24"/>
          <w:rtl/>
        </w:rPr>
        <w:footnoteReference w:id="25"/>
      </w:r>
      <w:r w:rsidRPr="00067504">
        <w:rPr>
          <w:rFonts w:ascii="David" w:hAnsi="David" w:cs="David" w:hint="cs"/>
          <w:sz w:val="24"/>
          <w:szCs w:val="24"/>
          <w:rtl/>
        </w:rPr>
        <w:t xml:space="preserve">. </w:t>
      </w:r>
    </w:p>
    <w:p w14:paraId="393A732A" w14:textId="77777777" w:rsidR="00FD58DD" w:rsidRPr="00067504" w:rsidRDefault="00FD58DD" w:rsidP="00FD58DD">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משמע שאין צורך בדיבור כדי לתת תוקף מן התורה למעשה קטן</w:t>
      </w:r>
      <w:r w:rsidRPr="00067504">
        <w:rPr>
          <w:rStyle w:val="a5"/>
          <w:rFonts w:asciiTheme="majorBidi" w:hAnsiTheme="majorBidi" w:cstheme="majorBidi"/>
          <w:sz w:val="24"/>
          <w:szCs w:val="24"/>
          <w:rtl/>
        </w:rPr>
        <w:footnoteReference w:id="26"/>
      </w:r>
      <w:r w:rsidRPr="00067504">
        <w:rPr>
          <w:rFonts w:asciiTheme="majorBidi" w:hAnsiTheme="majorBidi" w:cstheme="majorBidi" w:hint="cs"/>
          <w:sz w:val="24"/>
          <w:szCs w:val="24"/>
          <w:rtl/>
        </w:rPr>
        <w:t>.</w:t>
      </w:r>
    </w:p>
    <w:p w14:paraId="1260D506" w14:textId="77777777" w:rsidR="00FD58DD" w:rsidRPr="00067504" w:rsidRDefault="00FD58DD" w:rsidP="00FD58DD">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אולם יש שכתבו</w:t>
      </w:r>
      <w:r w:rsidRPr="00067504">
        <w:rPr>
          <w:rStyle w:val="a5"/>
          <w:rFonts w:asciiTheme="majorBidi" w:hAnsiTheme="majorBidi" w:cstheme="majorBidi"/>
          <w:sz w:val="24"/>
          <w:szCs w:val="24"/>
          <w:rtl/>
        </w:rPr>
        <w:footnoteReference w:id="27"/>
      </w:r>
      <w:r w:rsidRPr="00067504">
        <w:rPr>
          <w:rFonts w:asciiTheme="majorBidi" w:hAnsiTheme="majorBidi" w:cstheme="majorBidi"/>
          <w:sz w:val="24"/>
          <w:szCs w:val="24"/>
          <w:rtl/>
        </w:rPr>
        <w:t xml:space="preserve"> שדעת הרמב"ם נראית כרש"י, ולא נתבארו דבריהם.</w:t>
      </w:r>
    </w:p>
    <w:p w14:paraId="27D8F497" w14:textId="77777777" w:rsidR="00FD58DD" w:rsidRDefault="00FD58DD" w:rsidP="00FD58DD">
      <w:pPr>
        <w:spacing w:after="0" w:line="360" w:lineRule="auto"/>
        <w:jc w:val="center"/>
        <w:rPr>
          <w:rFonts w:asciiTheme="majorBidi" w:hAnsiTheme="majorBidi" w:cstheme="majorBidi"/>
          <w:b/>
          <w:bCs/>
          <w:sz w:val="28"/>
          <w:szCs w:val="28"/>
          <w:u w:val="single"/>
          <w:rtl/>
        </w:rPr>
      </w:pPr>
    </w:p>
    <w:p w14:paraId="492BFB2E" w14:textId="77777777" w:rsidR="00FD58DD" w:rsidRPr="00067504" w:rsidRDefault="00FD58DD" w:rsidP="00FD58DD">
      <w:pPr>
        <w:spacing w:after="0" w:line="360" w:lineRule="auto"/>
        <w:rPr>
          <w:rFonts w:asciiTheme="majorBidi" w:hAnsiTheme="majorBidi" w:cstheme="majorBidi"/>
          <w:b/>
          <w:bCs/>
          <w:sz w:val="28"/>
          <w:szCs w:val="28"/>
          <w:u w:val="single"/>
          <w:rtl/>
        </w:rPr>
        <w:sectPr w:rsidR="00FD58DD" w:rsidRPr="00067504" w:rsidSect="0079020E">
          <w:footnotePr>
            <w:numRestart w:val="eachSect"/>
          </w:footnotePr>
          <w:pgSz w:w="11906" w:h="16838"/>
          <w:pgMar w:top="1440" w:right="1080" w:bottom="1440" w:left="1080" w:header="708" w:footer="708" w:gutter="0"/>
          <w:cols w:space="708"/>
          <w:bidi/>
          <w:rtlGutter/>
          <w:docGrid w:linePitch="360"/>
        </w:sectPr>
      </w:pPr>
      <w:r w:rsidRPr="006F3DAB">
        <w:rPr>
          <w:rFonts w:asciiTheme="majorBidi" w:hAnsiTheme="majorBidi" w:cs="Times New Roman"/>
          <w:b/>
          <w:bCs/>
          <w:sz w:val="28"/>
          <w:szCs w:val="28"/>
          <w:u w:val="single"/>
          <w:rtl/>
        </w:rPr>
        <w:lastRenderedPageBreak/>
        <w:drawing>
          <wp:inline distT="0" distB="0" distL="0" distR="0" wp14:anchorId="374FE1A3" wp14:editId="0E900076">
            <wp:extent cx="3924848" cy="6087325"/>
            <wp:effectExtent l="0" t="0" r="0" b="889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72EAB11D"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7B5D1" w14:textId="77777777" w:rsidR="003D18CE" w:rsidRDefault="003D18CE" w:rsidP="00FD58DD">
      <w:pPr>
        <w:spacing w:after="0" w:line="240" w:lineRule="auto"/>
      </w:pPr>
      <w:r>
        <w:separator/>
      </w:r>
    </w:p>
  </w:endnote>
  <w:endnote w:type="continuationSeparator" w:id="0">
    <w:p w14:paraId="784E2F63" w14:textId="77777777" w:rsidR="003D18CE" w:rsidRDefault="003D18CE" w:rsidP="00FD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030F" w14:textId="77777777" w:rsidR="003D18CE" w:rsidRDefault="003D18CE" w:rsidP="00FD58DD">
      <w:pPr>
        <w:spacing w:after="0" w:line="240" w:lineRule="auto"/>
      </w:pPr>
      <w:r>
        <w:separator/>
      </w:r>
    </w:p>
  </w:footnote>
  <w:footnote w:type="continuationSeparator" w:id="0">
    <w:p w14:paraId="32783458" w14:textId="77777777" w:rsidR="003D18CE" w:rsidRDefault="003D18CE" w:rsidP="00FD58DD">
      <w:pPr>
        <w:spacing w:after="0" w:line="240" w:lineRule="auto"/>
      </w:pPr>
      <w:r>
        <w:continuationSeparator/>
      </w:r>
    </w:p>
  </w:footnote>
  <w:footnote w:id="1">
    <w:p w14:paraId="456E64F7" w14:textId="77777777" w:rsidR="00FD58DD" w:rsidRPr="0011671F" w:rsidRDefault="00FD58DD" w:rsidP="00FD58DD">
      <w:pPr>
        <w:pStyle w:val="a3"/>
        <w:spacing w:line="360" w:lineRule="auto"/>
        <w:rPr>
          <w:rFonts w:asciiTheme="majorBidi" w:hAnsiTheme="majorBidi" w:cstheme="majorBidi"/>
        </w:rPr>
      </w:pPr>
      <w:r w:rsidRPr="0011671F">
        <w:rPr>
          <w:rStyle w:val="a5"/>
          <w:rFonts w:asciiTheme="majorBidi" w:hAnsiTheme="majorBidi" w:cstheme="majorBidi"/>
        </w:rPr>
        <w:footnoteRef/>
      </w:r>
      <w:r w:rsidRPr="0011671F">
        <w:rPr>
          <w:rFonts w:asciiTheme="majorBidi" w:hAnsiTheme="majorBidi" w:cstheme="majorBidi"/>
          <w:rtl/>
        </w:rPr>
        <w:t xml:space="preserve"> ב</w:t>
      </w:r>
      <w:r>
        <w:rPr>
          <w:rFonts w:asciiTheme="majorBidi" w:hAnsiTheme="majorBidi" w:cstheme="majorBidi" w:hint="cs"/>
          <w:rtl/>
        </w:rPr>
        <w:t xml:space="preserve">, </w:t>
      </w:r>
      <w:r w:rsidRPr="0011671F">
        <w:rPr>
          <w:rFonts w:asciiTheme="majorBidi" w:hAnsiTheme="majorBidi" w:cstheme="majorBidi"/>
          <w:rtl/>
        </w:rPr>
        <w:t>א.</w:t>
      </w:r>
    </w:p>
  </w:footnote>
  <w:footnote w:id="2">
    <w:p w14:paraId="3724371D" w14:textId="77777777" w:rsidR="00FD58DD" w:rsidRPr="0011671F" w:rsidRDefault="00FD58DD" w:rsidP="00FD58DD">
      <w:pPr>
        <w:pStyle w:val="a3"/>
        <w:spacing w:line="360" w:lineRule="auto"/>
        <w:rPr>
          <w:rFonts w:asciiTheme="majorBidi" w:hAnsiTheme="majorBidi" w:cstheme="majorBidi"/>
        </w:rPr>
      </w:pPr>
      <w:r w:rsidRPr="0011671F">
        <w:rPr>
          <w:rStyle w:val="a5"/>
          <w:rFonts w:asciiTheme="majorBidi" w:hAnsiTheme="majorBidi" w:cstheme="majorBidi"/>
        </w:rPr>
        <w:footnoteRef/>
      </w:r>
      <w:r>
        <w:rPr>
          <w:rFonts w:asciiTheme="majorBidi" w:hAnsiTheme="majorBidi" w:cstheme="majorBidi"/>
          <w:rtl/>
        </w:rPr>
        <w:t xml:space="preserve"> </w:t>
      </w:r>
      <w:r w:rsidRPr="0011671F">
        <w:rPr>
          <w:rFonts w:asciiTheme="majorBidi" w:hAnsiTheme="majorBidi" w:cstheme="majorBidi"/>
          <w:rtl/>
        </w:rPr>
        <w:t>יב</w:t>
      </w:r>
      <w:r>
        <w:rPr>
          <w:rFonts w:asciiTheme="majorBidi" w:hAnsiTheme="majorBidi" w:cstheme="majorBidi" w:hint="cs"/>
          <w:rtl/>
        </w:rPr>
        <w:t>,</w:t>
      </w:r>
      <w:r w:rsidRPr="0011671F">
        <w:rPr>
          <w:rFonts w:asciiTheme="majorBidi" w:hAnsiTheme="majorBidi" w:cstheme="majorBidi"/>
          <w:rtl/>
        </w:rPr>
        <w:t xml:space="preserve"> ב.</w:t>
      </w:r>
    </w:p>
  </w:footnote>
  <w:footnote w:id="3">
    <w:p w14:paraId="03633625" w14:textId="77777777" w:rsidR="00FD58DD" w:rsidRPr="0011671F" w:rsidRDefault="00FD58DD" w:rsidP="00FD58DD">
      <w:pPr>
        <w:pStyle w:val="a3"/>
        <w:spacing w:line="360" w:lineRule="auto"/>
        <w:rPr>
          <w:rFonts w:asciiTheme="majorBidi" w:hAnsiTheme="majorBidi" w:cstheme="majorBidi"/>
          <w:rtl/>
        </w:rPr>
      </w:pPr>
      <w:r w:rsidRPr="0011671F">
        <w:rPr>
          <w:rStyle w:val="a5"/>
          <w:rFonts w:asciiTheme="majorBidi" w:hAnsiTheme="majorBidi" w:cstheme="majorBidi"/>
        </w:rPr>
        <w:footnoteRef/>
      </w:r>
      <w:r w:rsidRPr="0011671F">
        <w:rPr>
          <w:rFonts w:asciiTheme="majorBidi" w:hAnsiTheme="majorBidi" w:cstheme="majorBidi"/>
          <w:rtl/>
        </w:rPr>
        <w:t xml:space="preserve"> </w:t>
      </w:r>
      <w:r w:rsidRPr="0011671F">
        <w:rPr>
          <w:rFonts w:asciiTheme="majorBidi" w:hAnsiTheme="majorBidi" w:cstheme="majorBidi"/>
          <w:rtl/>
        </w:rPr>
        <w:t>שם.</w:t>
      </w:r>
    </w:p>
  </w:footnote>
  <w:footnote w:id="4">
    <w:p w14:paraId="1020DE6B" w14:textId="77777777" w:rsidR="00FD58DD" w:rsidRPr="00384C67" w:rsidRDefault="00FD58DD" w:rsidP="00FD58DD">
      <w:pPr>
        <w:pStyle w:val="a3"/>
        <w:rPr>
          <w:rFonts w:asciiTheme="majorBidi" w:hAnsiTheme="majorBidi" w:cstheme="majorBidi"/>
        </w:rPr>
      </w:pPr>
      <w:r w:rsidRPr="0011671F">
        <w:rPr>
          <w:rStyle w:val="a5"/>
          <w:rFonts w:asciiTheme="majorBidi" w:hAnsiTheme="majorBidi" w:cstheme="majorBidi"/>
        </w:rPr>
        <w:footnoteRef/>
      </w:r>
      <w:r w:rsidRPr="0011671F">
        <w:rPr>
          <w:rFonts w:asciiTheme="majorBidi" w:hAnsiTheme="majorBidi" w:cstheme="majorBidi"/>
          <w:rtl/>
        </w:rPr>
        <w:t xml:space="preserve"> </w:t>
      </w:r>
      <w:r w:rsidRPr="0011671F">
        <w:rPr>
          <w:rFonts w:asciiTheme="majorBidi" w:hAnsiTheme="majorBidi" w:cstheme="majorBidi"/>
          <w:rtl/>
        </w:rPr>
        <w:t xml:space="preserve">רש"י </w:t>
      </w:r>
      <w:r>
        <w:rPr>
          <w:rFonts w:asciiTheme="majorBidi" w:hAnsiTheme="majorBidi" w:cstheme="majorBidi" w:hint="cs"/>
          <w:rtl/>
        </w:rPr>
        <w:t>י</w:t>
      </w:r>
      <w:r w:rsidRPr="0011671F">
        <w:rPr>
          <w:rFonts w:asciiTheme="majorBidi" w:hAnsiTheme="majorBidi" w:cstheme="majorBidi"/>
          <w:rtl/>
        </w:rPr>
        <w:t>ב</w:t>
      </w:r>
      <w:r>
        <w:rPr>
          <w:rFonts w:asciiTheme="majorBidi" w:hAnsiTheme="majorBidi" w:cstheme="majorBidi" w:hint="cs"/>
          <w:rtl/>
        </w:rPr>
        <w:t>,</w:t>
      </w:r>
      <w:r w:rsidRPr="0011671F">
        <w:rPr>
          <w:rFonts w:asciiTheme="majorBidi" w:hAnsiTheme="majorBidi" w:cstheme="majorBidi"/>
          <w:rtl/>
        </w:rPr>
        <w:t xml:space="preserve"> ב ד"ה קטן</w:t>
      </w:r>
      <w:r w:rsidRPr="00384C67">
        <w:rPr>
          <w:rFonts w:ascii="David" w:hAnsi="David" w:cs="David"/>
          <w:rtl/>
        </w:rPr>
        <w:t>. "וא"ת</w:t>
      </w:r>
      <w:r>
        <w:rPr>
          <w:rFonts w:ascii="David" w:hAnsi="David" w:cs="David" w:hint="cs"/>
          <w:rtl/>
        </w:rPr>
        <w:t>:</w:t>
      </w:r>
      <w:r w:rsidRPr="00384C67">
        <w:rPr>
          <w:rFonts w:ascii="David" w:hAnsi="David" w:cs="David"/>
          <w:rtl/>
        </w:rPr>
        <w:t xml:space="preserve"> הא התם משמע דסתמא נמי כשר משום דזבחים סתמא לשמן קיימי</w:t>
      </w:r>
      <w:r>
        <w:rPr>
          <w:rFonts w:ascii="David" w:hAnsi="David" w:cs="David" w:hint="cs"/>
          <w:rtl/>
        </w:rPr>
        <w:t>,</w:t>
      </w:r>
      <w:r w:rsidRPr="00384C67">
        <w:rPr>
          <w:rFonts w:ascii="David" w:hAnsi="David" w:cs="David"/>
          <w:rtl/>
        </w:rPr>
        <w:t xml:space="preserve"> ואינו פוסל עד שיכוין שלא לשמן</w:t>
      </w:r>
      <w:r>
        <w:rPr>
          <w:rFonts w:ascii="David" w:hAnsi="David" w:cs="David" w:hint="cs"/>
          <w:rtl/>
        </w:rPr>
        <w:t>?</w:t>
      </w:r>
      <w:r w:rsidRPr="00384C67">
        <w:rPr>
          <w:rFonts w:ascii="David" w:hAnsi="David" w:cs="David"/>
          <w:rtl/>
        </w:rPr>
        <w:t xml:space="preserve"> ויש לומר </w:t>
      </w:r>
      <w:r w:rsidRPr="00F41332">
        <w:rPr>
          <w:rFonts w:ascii="David" w:hAnsi="David" w:cs="David"/>
          <w:b/>
          <w:bCs/>
          <w:rtl/>
        </w:rPr>
        <w:t>דסתמא דקטן גרע</w:t>
      </w:r>
      <w:r>
        <w:rPr>
          <w:rFonts w:ascii="David" w:hAnsi="David" w:cs="David" w:hint="cs"/>
          <w:b/>
          <w:bCs/>
          <w:rtl/>
        </w:rPr>
        <w:t>,</w:t>
      </w:r>
      <w:r w:rsidRPr="00F41332">
        <w:rPr>
          <w:rFonts w:ascii="David" w:hAnsi="David" w:cs="David"/>
          <w:b/>
          <w:bCs/>
          <w:rtl/>
        </w:rPr>
        <w:t xml:space="preserve"> דאין לו דעת להבין</w:t>
      </w:r>
      <w:r w:rsidRPr="00384C67">
        <w:rPr>
          <w:rFonts w:ascii="David" w:hAnsi="David" w:cs="David"/>
          <w:rtl/>
        </w:rPr>
        <w:t xml:space="preserve"> שהם קדשים</w:t>
      </w:r>
      <w:r>
        <w:rPr>
          <w:rFonts w:ascii="David" w:hAnsi="David" w:cs="David" w:hint="cs"/>
          <w:rtl/>
        </w:rPr>
        <w:t>,</w:t>
      </w:r>
      <w:r w:rsidRPr="00384C67">
        <w:rPr>
          <w:rFonts w:ascii="David" w:hAnsi="David" w:cs="David"/>
          <w:rtl/>
        </w:rPr>
        <w:t xml:space="preserve"> וסבר שהם חולין</w:t>
      </w:r>
      <w:r>
        <w:rPr>
          <w:rFonts w:ascii="David" w:hAnsi="David" w:cs="David" w:hint="cs"/>
          <w:rtl/>
        </w:rPr>
        <w:t>,</w:t>
      </w:r>
      <w:r w:rsidRPr="00384C67">
        <w:rPr>
          <w:rFonts w:ascii="David" w:hAnsi="David" w:cs="David"/>
          <w:rtl/>
        </w:rPr>
        <w:t xml:space="preserve"> והוה ליה מתעסק ופסול</w:t>
      </w:r>
      <w:r>
        <w:rPr>
          <w:rFonts w:ascii="David" w:hAnsi="David" w:cs="David" w:hint="cs"/>
          <w:rtl/>
        </w:rPr>
        <w:t>.</w:t>
      </w:r>
      <w:r w:rsidRPr="00384C67">
        <w:rPr>
          <w:rFonts w:ascii="David" w:hAnsi="David" w:cs="David"/>
          <w:rtl/>
        </w:rPr>
        <w:t xml:space="preserve"> כדאמרינן בזבחים בסוף פרק (ב' (דף מו) ב"ש אומרים)</w:t>
      </w:r>
      <w:r>
        <w:rPr>
          <w:rFonts w:ascii="David" w:hAnsi="David" w:cs="David" w:hint="cs"/>
          <w:rtl/>
        </w:rPr>
        <w:t>:</w:t>
      </w:r>
      <w:r w:rsidRPr="00384C67">
        <w:rPr>
          <w:rFonts w:ascii="David" w:hAnsi="David" w:cs="David"/>
          <w:rtl/>
        </w:rPr>
        <w:t xml:space="preserve"> לשם חולין כשרה</w:t>
      </w:r>
      <w:r>
        <w:rPr>
          <w:rFonts w:ascii="David" w:hAnsi="David" w:cs="David" w:hint="cs"/>
          <w:rtl/>
        </w:rPr>
        <w:t>,</w:t>
      </w:r>
      <w:r w:rsidRPr="00384C67">
        <w:rPr>
          <w:rFonts w:ascii="David" w:hAnsi="David" w:cs="David"/>
          <w:rtl/>
        </w:rPr>
        <w:t xml:space="preserve"> משום חולין פסולה</w:t>
      </w:r>
      <w:r>
        <w:rPr>
          <w:rFonts w:ascii="David" w:hAnsi="David" w:cs="David" w:hint="cs"/>
          <w:rtl/>
        </w:rPr>
        <w:t>.</w:t>
      </w:r>
      <w:r w:rsidRPr="00384C67">
        <w:rPr>
          <w:rFonts w:ascii="David" w:hAnsi="David" w:cs="David"/>
          <w:rtl/>
        </w:rPr>
        <w:t xml:space="preserve"> </w:t>
      </w:r>
      <w:r w:rsidRPr="00384C67">
        <w:rPr>
          <w:rFonts w:ascii="David" w:hAnsi="David" w:cs="David"/>
          <w:b/>
          <w:bCs/>
          <w:rtl/>
        </w:rPr>
        <w:t xml:space="preserve">ואפילו אומר הקטן </w:t>
      </w:r>
      <w:r>
        <w:rPr>
          <w:rFonts w:ascii="David" w:hAnsi="David" w:cs="David" w:hint="cs"/>
          <w:b/>
          <w:bCs/>
          <w:rtl/>
        </w:rPr>
        <w:t>'</w:t>
      </w:r>
      <w:r w:rsidRPr="00384C67">
        <w:rPr>
          <w:rFonts w:ascii="David" w:hAnsi="David" w:cs="David"/>
          <w:b/>
          <w:bCs/>
          <w:rtl/>
        </w:rPr>
        <w:t>יודע אני שהם קדשים ולשמן אני מתכוין</w:t>
      </w:r>
      <w:r>
        <w:rPr>
          <w:rFonts w:ascii="David" w:hAnsi="David" w:cs="David" w:hint="cs"/>
          <w:b/>
          <w:bCs/>
          <w:rtl/>
        </w:rPr>
        <w:t>',</w:t>
      </w:r>
      <w:r w:rsidRPr="00384C67">
        <w:rPr>
          <w:rFonts w:ascii="David" w:hAnsi="David" w:cs="David"/>
          <w:b/>
          <w:bCs/>
          <w:rtl/>
        </w:rPr>
        <w:t xml:space="preserve"> מבעיא לן</w:t>
      </w:r>
      <w:r w:rsidRPr="00384C67">
        <w:rPr>
          <w:rFonts w:ascii="David" w:hAnsi="David" w:cs="David"/>
          <w:rtl/>
        </w:rPr>
        <w:t xml:space="preserve"> אם כוונתו כוונה ודילמא לא מהניא אם אין מעשיו מוכיחין"</w:t>
      </w:r>
      <w:r>
        <w:rPr>
          <w:rFonts w:hint="cs"/>
          <w:rtl/>
        </w:rPr>
        <w:t xml:space="preserve"> </w:t>
      </w:r>
      <w:r w:rsidRPr="00384C67">
        <w:rPr>
          <w:rFonts w:asciiTheme="majorBidi" w:hAnsiTheme="majorBidi" w:cstheme="majorBidi"/>
          <w:rtl/>
        </w:rPr>
        <w:t>(תוספות יב</w:t>
      </w:r>
      <w:r>
        <w:rPr>
          <w:rFonts w:asciiTheme="majorBidi" w:hAnsiTheme="majorBidi" w:cstheme="majorBidi" w:hint="cs"/>
          <w:rtl/>
        </w:rPr>
        <w:t xml:space="preserve">, </w:t>
      </w:r>
      <w:r w:rsidRPr="00384C67">
        <w:rPr>
          <w:rFonts w:asciiTheme="majorBidi" w:hAnsiTheme="majorBidi" w:cstheme="majorBidi"/>
          <w:rtl/>
        </w:rPr>
        <w:t>ב ד"ה קטן).</w:t>
      </w:r>
    </w:p>
  </w:footnote>
  <w:footnote w:id="5">
    <w:p w14:paraId="58017275" w14:textId="77777777" w:rsidR="00FD58DD" w:rsidRPr="0011671F" w:rsidRDefault="00FD58DD" w:rsidP="00FD58DD">
      <w:pPr>
        <w:pStyle w:val="a3"/>
        <w:rPr>
          <w:rtl/>
        </w:rPr>
      </w:pPr>
      <w:r w:rsidRPr="0011671F">
        <w:rPr>
          <w:rStyle w:val="a5"/>
        </w:rPr>
        <w:footnoteRef/>
      </w:r>
      <w:r w:rsidRPr="0011671F">
        <w:rPr>
          <w:rtl/>
        </w:rPr>
        <w:t xml:space="preserve"> </w:t>
      </w:r>
      <w:r w:rsidRPr="0011671F">
        <w:rPr>
          <w:rFonts w:asciiTheme="majorBidi" w:hAnsiTheme="majorBidi" w:cs="Times New Roman"/>
          <w:rtl/>
        </w:rPr>
        <w:t>רש"י יג</w:t>
      </w:r>
      <w:r>
        <w:rPr>
          <w:rFonts w:asciiTheme="majorBidi" w:hAnsiTheme="majorBidi" w:cs="Times New Roman" w:hint="cs"/>
          <w:rtl/>
        </w:rPr>
        <w:t xml:space="preserve">, </w:t>
      </w:r>
      <w:r w:rsidRPr="0011671F">
        <w:rPr>
          <w:rFonts w:asciiTheme="majorBidi" w:hAnsiTheme="majorBidi" w:cs="Times New Roman"/>
          <w:rtl/>
        </w:rPr>
        <w:t>א</w:t>
      </w:r>
      <w:r w:rsidRPr="0011671F">
        <w:rPr>
          <w:rFonts w:asciiTheme="majorBidi" w:hAnsiTheme="majorBidi" w:cstheme="majorBidi" w:hint="cs"/>
          <w:rtl/>
        </w:rPr>
        <w:t xml:space="preserve"> ד"ה אבל</w:t>
      </w:r>
      <w:r>
        <w:rPr>
          <w:rFonts w:asciiTheme="majorBidi" w:hAnsiTheme="majorBidi" w:cstheme="majorBidi" w:hint="cs"/>
          <w:rtl/>
        </w:rPr>
        <w:t xml:space="preserve"> היפך</w:t>
      </w:r>
      <w:r w:rsidRPr="0011671F">
        <w:rPr>
          <w:rFonts w:hint="cs"/>
          <w:rtl/>
        </w:rPr>
        <w:t>.</w:t>
      </w:r>
    </w:p>
  </w:footnote>
  <w:footnote w:id="6">
    <w:p w14:paraId="4A90C633"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יג</w:t>
      </w:r>
      <w:r>
        <w:rPr>
          <w:rFonts w:asciiTheme="majorBidi" w:hAnsiTheme="majorBidi" w:cstheme="majorBidi" w:hint="cs"/>
          <w:rtl/>
        </w:rPr>
        <w:t xml:space="preserve">, </w:t>
      </w:r>
      <w:r w:rsidRPr="00384C67">
        <w:rPr>
          <w:rFonts w:asciiTheme="majorBidi" w:hAnsiTheme="majorBidi" w:cstheme="majorBidi"/>
          <w:rtl/>
        </w:rPr>
        <w:t>א.</w:t>
      </w:r>
    </w:p>
  </w:footnote>
  <w:footnote w:id="7">
    <w:p w14:paraId="2F10683F" w14:textId="77777777" w:rsidR="00FD58DD" w:rsidRPr="00384C67" w:rsidRDefault="00FD58DD" w:rsidP="00FD58DD">
      <w:pPr>
        <w:pStyle w:val="a3"/>
        <w:spacing w:line="360" w:lineRule="auto"/>
        <w:rPr>
          <w:rFonts w:asciiTheme="majorBidi" w:hAnsiTheme="majorBidi" w:cstheme="majorBidi"/>
          <w:rtl/>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רש"י יב</w:t>
      </w:r>
      <w:r>
        <w:rPr>
          <w:rFonts w:asciiTheme="majorBidi" w:hAnsiTheme="majorBidi" w:cstheme="majorBidi" w:hint="cs"/>
          <w:rtl/>
        </w:rPr>
        <w:t>,</w:t>
      </w:r>
      <w:r w:rsidRPr="00384C67">
        <w:rPr>
          <w:rFonts w:asciiTheme="majorBidi" w:hAnsiTheme="majorBidi" w:cstheme="majorBidi"/>
          <w:rtl/>
        </w:rPr>
        <w:t xml:space="preserve"> ב ד"ה שיש להן מעשה.</w:t>
      </w:r>
    </w:p>
  </w:footnote>
  <w:footnote w:id="8">
    <w:p w14:paraId="237C0AEF"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Pr>
          <w:rFonts w:asciiTheme="majorBidi" w:hAnsiTheme="majorBidi" w:cstheme="majorBidi"/>
          <w:rtl/>
        </w:rPr>
        <w:t xml:space="preserve"> </w:t>
      </w:r>
      <w:r w:rsidRPr="00384C67">
        <w:rPr>
          <w:rFonts w:asciiTheme="majorBidi" w:hAnsiTheme="majorBidi" w:cstheme="majorBidi"/>
          <w:rtl/>
        </w:rPr>
        <w:t>יג</w:t>
      </w:r>
      <w:r>
        <w:rPr>
          <w:rFonts w:asciiTheme="majorBidi" w:hAnsiTheme="majorBidi" w:cstheme="majorBidi" w:hint="cs"/>
          <w:rtl/>
        </w:rPr>
        <w:t xml:space="preserve">, </w:t>
      </w:r>
      <w:r w:rsidRPr="00384C67">
        <w:rPr>
          <w:rFonts w:asciiTheme="majorBidi" w:hAnsiTheme="majorBidi" w:cstheme="majorBidi"/>
          <w:rtl/>
        </w:rPr>
        <w:t>א ד"ה ואתיוה, וכן עולה מדבריו בעמוד הקודם ד"ה אמר ליה רבי אמי.</w:t>
      </w:r>
    </w:p>
  </w:footnote>
  <w:footnote w:id="9">
    <w:p w14:paraId="68BC48B1"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תוספות יב</w:t>
      </w:r>
      <w:r>
        <w:rPr>
          <w:rFonts w:asciiTheme="majorBidi" w:hAnsiTheme="majorBidi" w:cstheme="majorBidi" w:hint="cs"/>
          <w:rtl/>
        </w:rPr>
        <w:t xml:space="preserve">, </w:t>
      </w:r>
      <w:r w:rsidRPr="00384C67">
        <w:rPr>
          <w:rFonts w:asciiTheme="majorBidi" w:hAnsiTheme="majorBidi" w:cstheme="majorBidi"/>
          <w:rtl/>
        </w:rPr>
        <w:t>ב ד"ה ותיבעי ליה מעשה.</w:t>
      </w:r>
    </w:p>
  </w:footnote>
  <w:footnote w:id="10">
    <w:p w14:paraId="1A3D8E49"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Pr>
          <w:rFonts w:asciiTheme="majorBidi" w:hAnsiTheme="majorBidi" w:cstheme="majorBidi" w:hint="cs"/>
          <w:rtl/>
        </w:rPr>
        <w:t>שם.</w:t>
      </w:r>
    </w:p>
  </w:footnote>
  <w:footnote w:id="11">
    <w:p w14:paraId="46885425" w14:textId="77777777" w:rsidR="00FD58DD" w:rsidRPr="00384C67" w:rsidRDefault="00FD58DD" w:rsidP="00FD58DD">
      <w:pPr>
        <w:pStyle w:val="a3"/>
        <w:spacing w:line="360" w:lineRule="auto"/>
        <w:rPr>
          <w:rFonts w:asciiTheme="majorBidi" w:hAnsiTheme="majorBidi" w:cstheme="majorBidi"/>
          <w:rtl/>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ד"ה העלום וד"ה אינן.</w:t>
      </w:r>
    </w:p>
  </w:footnote>
  <w:footnote w:id="12">
    <w:p w14:paraId="7710F02C" w14:textId="77777777" w:rsidR="00FD58DD" w:rsidRPr="00384C67" w:rsidRDefault="00FD58DD" w:rsidP="00FD58DD">
      <w:pPr>
        <w:spacing w:after="0" w:line="360" w:lineRule="auto"/>
        <w:rPr>
          <w:rFonts w:asciiTheme="majorBidi" w:hAnsiTheme="majorBidi" w:cstheme="majorBidi"/>
          <w:sz w:val="20"/>
          <w:szCs w:val="20"/>
        </w:rPr>
      </w:pPr>
      <w:r w:rsidRPr="00384C67">
        <w:rPr>
          <w:rStyle w:val="a5"/>
          <w:rFonts w:asciiTheme="majorBidi" w:hAnsiTheme="majorBidi" w:cstheme="majorBidi"/>
          <w:sz w:val="20"/>
          <w:szCs w:val="20"/>
        </w:rPr>
        <w:footnoteRef/>
      </w:r>
      <w:r w:rsidRPr="00384C67">
        <w:rPr>
          <w:rFonts w:asciiTheme="majorBidi" w:hAnsiTheme="majorBidi" w:cstheme="majorBidi"/>
          <w:sz w:val="20"/>
          <w:szCs w:val="20"/>
          <w:rtl/>
        </w:rPr>
        <w:t xml:space="preserve"> </w:t>
      </w:r>
      <w:r w:rsidRPr="00384C67">
        <w:rPr>
          <w:rFonts w:asciiTheme="majorBidi" w:hAnsiTheme="majorBidi" w:cstheme="majorBidi"/>
          <w:sz w:val="20"/>
          <w:szCs w:val="20"/>
          <w:rtl/>
        </w:rPr>
        <w:t>יג</w:t>
      </w:r>
      <w:r>
        <w:rPr>
          <w:rFonts w:asciiTheme="majorBidi" w:hAnsiTheme="majorBidi" w:cstheme="majorBidi" w:hint="cs"/>
          <w:sz w:val="20"/>
          <w:szCs w:val="20"/>
          <w:rtl/>
        </w:rPr>
        <w:t>,</w:t>
      </w:r>
      <w:r w:rsidRPr="00384C67">
        <w:rPr>
          <w:rFonts w:asciiTheme="majorBidi" w:hAnsiTheme="majorBidi" w:cstheme="majorBidi"/>
          <w:sz w:val="20"/>
          <w:szCs w:val="20"/>
          <w:rtl/>
        </w:rPr>
        <w:t xml:space="preserve"> א ד"ה או דלמא מקום</w:t>
      </w:r>
      <w:r>
        <w:rPr>
          <w:rFonts w:asciiTheme="majorBidi" w:hAnsiTheme="majorBidi" w:cstheme="majorBidi" w:hint="cs"/>
          <w:sz w:val="20"/>
          <w:szCs w:val="20"/>
          <w:rtl/>
        </w:rPr>
        <w:t>.</w:t>
      </w:r>
    </w:p>
  </w:footnote>
  <w:footnote w:id="13">
    <w:p w14:paraId="5FDAB4EE" w14:textId="77777777" w:rsidR="00FD58DD" w:rsidRPr="00867F11" w:rsidRDefault="00FD58DD" w:rsidP="00FD58DD">
      <w:pPr>
        <w:spacing w:after="0" w:line="360" w:lineRule="auto"/>
        <w:rPr>
          <w:rFonts w:asciiTheme="majorBidi" w:hAnsiTheme="majorBidi" w:cstheme="majorBidi"/>
          <w:sz w:val="20"/>
          <w:szCs w:val="20"/>
        </w:rPr>
      </w:pPr>
      <w:r w:rsidRPr="00867F11">
        <w:rPr>
          <w:rStyle w:val="a5"/>
          <w:sz w:val="20"/>
          <w:szCs w:val="20"/>
        </w:rPr>
        <w:footnoteRef/>
      </w:r>
      <w:r w:rsidRPr="00867F11">
        <w:rPr>
          <w:sz w:val="20"/>
          <w:szCs w:val="20"/>
          <w:rtl/>
        </w:rPr>
        <w:t xml:space="preserve"> </w:t>
      </w:r>
      <w:r w:rsidRPr="00867F11">
        <w:rPr>
          <w:rFonts w:asciiTheme="majorBidi" w:hAnsiTheme="majorBidi" w:cs="Times New Roman"/>
          <w:sz w:val="20"/>
          <w:szCs w:val="20"/>
          <w:rtl/>
        </w:rPr>
        <w:t>תלמוד ירושלמי מעשרות פרק ד הלכה ב</w:t>
      </w:r>
      <w:r>
        <w:rPr>
          <w:rFonts w:asciiTheme="majorBidi" w:hAnsiTheme="majorBidi" w:cs="Times New Roman" w:hint="cs"/>
          <w:sz w:val="20"/>
          <w:szCs w:val="20"/>
          <w:rtl/>
        </w:rPr>
        <w:t>.</w:t>
      </w:r>
    </w:p>
  </w:footnote>
  <w:footnote w:id="14">
    <w:p w14:paraId="645BEC7E" w14:textId="77777777" w:rsidR="00FD58DD" w:rsidRPr="00867F11" w:rsidRDefault="00FD58DD" w:rsidP="00FD58DD">
      <w:pPr>
        <w:pStyle w:val="a3"/>
        <w:spacing w:line="360" w:lineRule="auto"/>
        <w:rPr>
          <w:rFonts w:asciiTheme="majorBidi" w:hAnsiTheme="majorBidi" w:cstheme="majorBidi"/>
          <w:rtl/>
        </w:rPr>
      </w:pPr>
      <w:r w:rsidRPr="00867F11">
        <w:rPr>
          <w:rStyle w:val="a5"/>
          <w:rFonts w:asciiTheme="majorBidi" w:hAnsiTheme="majorBidi" w:cstheme="majorBidi"/>
        </w:rPr>
        <w:footnoteRef/>
      </w:r>
      <w:r w:rsidRPr="00867F11">
        <w:rPr>
          <w:rFonts w:asciiTheme="majorBidi" w:hAnsiTheme="majorBidi" w:cstheme="majorBidi"/>
          <w:rtl/>
        </w:rPr>
        <w:t xml:space="preserve"> </w:t>
      </w:r>
      <w:r w:rsidRPr="00867F11">
        <w:rPr>
          <w:rFonts w:asciiTheme="majorBidi" w:hAnsiTheme="majorBidi" w:cstheme="majorBidi"/>
          <w:rtl/>
        </w:rPr>
        <w:t xml:space="preserve">דף </w:t>
      </w:r>
      <w:r>
        <w:rPr>
          <w:rFonts w:asciiTheme="majorBidi" w:hAnsiTheme="majorBidi" w:cstheme="majorBidi"/>
          <w:rtl/>
        </w:rPr>
        <w:t>על הדף סוף יב</w:t>
      </w:r>
      <w:r>
        <w:rPr>
          <w:rFonts w:asciiTheme="majorBidi" w:hAnsiTheme="majorBidi" w:cstheme="majorBidi" w:hint="cs"/>
          <w:rtl/>
        </w:rPr>
        <w:t>,</w:t>
      </w:r>
      <w:r>
        <w:rPr>
          <w:rFonts w:asciiTheme="majorBidi" w:hAnsiTheme="majorBidi" w:cstheme="majorBidi"/>
          <w:rtl/>
        </w:rPr>
        <w:t xml:space="preserve"> ב </w:t>
      </w:r>
      <w:r>
        <w:rPr>
          <w:rFonts w:asciiTheme="majorBidi" w:hAnsiTheme="majorBidi" w:cstheme="majorBidi" w:hint="cs"/>
          <w:rtl/>
        </w:rPr>
        <w:t xml:space="preserve">בשם </w:t>
      </w:r>
      <w:r w:rsidRPr="00867F11">
        <w:rPr>
          <w:rFonts w:asciiTheme="majorBidi" w:hAnsiTheme="majorBidi" w:cstheme="majorBidi"/>
          <w:rtl/>
        </w:rPr>
        <w:t>ר' שלמה אברהם רזכטא בקובץ כרם שלמה</w:t>
      </w:r>
      <w:r>
        <w:rPr>
          <w:rFonts w:asciiTheme="majorBidi" w:hAnsiTheme="majorBidi" w:cstheme="majorBidi" w:hint="cs"/>
          <w:rtl/>
        </w:rPr>
        <w:t xml:space="preserve">. </w:t>
      </w:r>
    </w:p>
  </w:footnote>
  <w:footnote w:id="15">
    <w:p w14:paraId="358C9C67" w14:textId="77777777" w:rsidR="00FD58DD" w:rsidRPr="00384C67" w:rsidRDefault="00FD58DD" w:rsidP="00FD58DD">
      <w:pPr>
        <w:pStyle w:val="a3"/>
        <w:spacing w:line="360" w:lineRule="auto"/>
        <w:rPr>
          <w:rFonts w:asciiTheme="majorBidi" w:hAnsiTheme="majorBidi" w:cstheme="majorBidi"/>
          <w:rtl/>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יג</w:t>
      </w:r>
      <w:r>
        <w:rPr>
          <w:rFonts w:asciiTheme="majorBidi" w:hAnsiTheme="majorBidi" w:cstheme="majorBidi" w:hint="cs"/>
          <w:rtl/>
        </w:rPr>
        <w:t>,</w:t>
      </w:r>
      <w:r w:rsidRPr="00384C67">
        <w:rPr>
          <w:rFonts w:asciiTheme="majorBidi" w:hAnsiTheme="majorBidi" w:cstheme="majorBidi"/>
          <w:rtl/>
        </w:rPr>
        <w:t xml:space="preserve"> א ד"ה אבל היפך בהם.</w:t>
      </w:r>
    </w:p>
  </w:footnote>
  <w:footnote w:id="16">
    <w:p w14:paraId="6E58F435"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חסדי דוד, תוספתא כלים בבא מציעא פרק ז הלכה ז.</w:t>
      </w:r>
    </w:p>
  </w:footnote>
  <w:footnote w:id="17">
    <w:p w14:paraId="659D7875"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 xml:space="preserve">בירור הלכה </w:t>
      </w:r>
      <w:r>
        <w:rPr>
          <w:rFonts w:asciiTheme="majorBidi" w:hAnsiTheme="majorBidi" w:cstheme="majorBidi" w:hint="cs"/>
          <w:rtl/>
        </w:rPr>
        <w:t>יב,ב</w:t>
      </w:r>
      <w:r w:rsidRPr="00384C67">
        <w:rPr>
          <w:rFonts w:asciiTheme="majorBidi" w:hAnsiTheme="majorBidi" w:cstheme="majorBidi"/>
          <w:rtl/>
        </w:rPr>
        <w:t xml:space="preserve"> ציון ה, בשיטת השיטה מקובצת ומשנה למלך (על טומאת אוכלין פרק יד הלכה ב). רוב דבר</w:t>
      </w:r>
      <w:r>
        <w:rPr>
          <w:rFonts w:asciiTheme="majorBidi" w:hAnsiTheme="majorBidi" w:cstheme="majorBidi" w:hint="cs"/>
          <w:rtl/>
        </w:rPr>
        <w:t>י</w:t>
      </w:r>
      <w:r w:rsidRPr="00384C67">
        <w:rPr>
          <w:rFonts w:asciiTheme="majorBidi" w:hAnsiTheme="majorBidi" w:cstheme="majorBidi"/>
          <w:rtl/>
        </w:rPr>
        <w:t>נו כאן מסתמך על בירור הלכה זה.</w:t>
      </w:r>
    </w:p>
  </w:footnote>
  <w:footnote w:id="18">
    <w:p w14:paraId="65230D39" w14:textId="77777777" w:rsidR="00FD58DD" w:rsidRPr="00384C67" w:rsidRDefault="00FD58DD" w:rsidP="00FD58DD">
      <w:pPr>
        <w:pStyle w:val="a3"/>
        <w:spacing w:line="360" w:lineRule="auto"/>
        <w:rPr>
          <w:rFonts w:asciiTheme="majorBidi" w:hAnsiTheme="majorBidi" w:cstheme="majorBidi"/>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הטבלה היא על פי משנה למלך  טומאת אוכלין פרק יד.</w:t>
      </w:r>
    </w:p>
  </w:footnote>
  <w:footnote w:id="19">
    <w:p w14:paraId="0CBF330E" w14:textId="77777777" w:rsidR="00FD58DD" w:rsidRPr="00384C67" w:rsidRDefault="00FD58DD" w:rsidP="00FD58DD">
      <w:pPr>
        <w:pStyle w:val="a3"/>
        <w:spacing w:line="360" w:lineRule="auto"/>
        <w:rPr>
          <w:rFonts w:asciiTheme="majorBidi" w:hAnsiTheme="majorBidi" w:cstheme="majorBidi"/>
          <w:rtl/>
        </w:rPr>
      </w:pPr>
      <w:r w:rsidRPr="00384C67">
        <w:rPr>
          <w:rStyle w:val="a5"/>
          <w:rFonts w:asciiTheme="majorBidi" w:hAnsiTheme="majorBidi" w:cstheme="majorBidi"/>
        </w:rPr>
        <w:footnoteRef/>
      </w:r>
      <w:r w:rsidRPr="00384C67">
        <w:rPr>
          <w:rFonts w:asciiTheme="majorBidi" w:hAnsiTheme="majorBidi" w:cstheme="majorBidi"/>
          <w:rtl/>
        </w:rPr>
        <w:t xml:space="preserve"> </w:t>
      </w:r>
      <w:r w:rsidRPr="00384C67">
        <w:rPr>
          <w:rFonts w:asciiTheme="majorBidi" w:hAnsiTheme="majorBidi" w:cstheme="majorBidi"/>
          <w:rtl/>
        </w:rPr>
        <w:t xml:space="preserve">לפי השיטה מקובצת והמאירי, </w:t>
      </w:r>
      <w:r>
        <w:rPr>
          <w:rFonts w:asciiTheme="majorBidi" w:hAnsiTheme="majorBidi" w:cstheme="majorBidi" w:hint="cs"/>
          <w:rtl/>
        </w:rPr>
        <w:t xml:space="preserve">אינו מועיל מן התורה, </w:t>
      </w:r>
      <w:r w:rsidRPr="00384C67">
        <w:rPr>
          <w:rFonts w:asciiTheme="majorBidi" w:hAnsiTheme="majorBidi" w:cstheme="majorBidi"/>
          <w:rtl/>
        </w:rPr>
        <w:t>כי אינו מעשה המוכיח באופן גמור, בהיות האגוז אכיל. בעץ לא אכיל, מועיל מן התורה.</w:t>
      </w:r>
    </w:p>
  </w:footnote>
  <w:footnote w:id="20">
    <w:p w14:paraId="1E16506B" w14:textId="77777777" w:rsidR="00FD58DD" w:rsidRPr="00FE25B3" w:rsidRDefault="00FD58DD" w:rsidP="00FD58DD">
      <w:pPr>
        <w:pStyle w:val="a3"/>
        <w:rPr>
          <w:rFonts w:asciiTheme="majorBidi" w:hAnsiTheme="majorBidi" w:cstheme="majorBidi"/>
          <w:rtl/>
        </w:rPr>
      </w:pPr>
      <w:r w:rsidRPr="00FE25B3">
        <w:rPr>
          <w:rStyle w:val="a5"/>
          <w:rFonts w:asciiTheme="majorBidi" w:hAnsiTheme="majorBidi" w:cstheme="majorBidi"/>
        </w:rPr>
        <w:footnoteRef/>
      </w:r>
      <w:r w:rsidRPr="00FE25B3">
        <w:rPr>
          <w:rFonts w:asciiTheme="majorBidi" w:hAnsiTheme="majorBidi" w:cstheme="majorBidi"/>
          <w:rtl/>
        </w:rPr>
        <w:t xml:space="preserve"> </w:t>
      </w:r>
      <w:r w:rsidRPr="00FE25B3">
        <w:rPr>
          <w:rFonts w:asciiTheme="majorBidi" w:hAnsiTheme="majorBidi" w:cstheme="majorBidi"/>
          <w:rtl/>
        </w:rPr>
        <w:t>לפי זה י</w:t>
      </w:r>
      <w:r>
        <w:rPr>
          <w:rFonts w:asciiTheme="majorBidi" w:hAnsiTheme="majorBidi" w:cstheme="majorBidi" w:hint="cs"/>
          <w:rtl/>
        </w:rPr>
        <w:t>י</w:t>
      </w:r>
      <w:r w:rsidRPr="00FE25B3">
        <w:rPr>
          <w:rFonts w:asciiTheme="majorBidi" w:hAnsiTheme="majorBidi" w:cstheme="majorBidi"/>
          <w:rtl/>
        </w:rPr>
        <w:t>תכן שקטן אינו יכול להניח סכך לסוכה, שהרי ישנן פרשנ</w:t>
      </w:r>
      <w:r>
        <w:rPr>
          <w:rFonts w:asciiTheme="majorBidi" w:hAnsiTheme="majorBidi" w:cstheme="majorBidi" w:hint="cs"/>
          <w:rtl/>
        </w:rPr>
        <w:t>ו</w:t>
      </w:r>
      <w:r w:rsidRPr="00FE25B3">
        <w:rPr>
          <w:rFonts w:asciiTheme="majorBidi" w:hAnsiTheme="majorBidi" w:cstheme="majorBidi"/>
          <w:rtl/>
        </w:rPr>
        <w:t>יות שונות להנחה כזו</w:t>
      </w:r>
      <w:r>
        <w:rPr>
          <w:rFonts w:asciiTheme="majorBidi" w:hAnsiTheme="majorBidi" w:cstheme="majorBidi" w:hint="cs"/>
          <w:rtl/>
        </w:rPr>
        <w:t>,</w:t>
      </w:r>
      <w:r w:rsidRPr="00FE25B3">
        <w:rPr>
          <w:rFonts w:asciiTheme="majorBidi" w:hAnsiTheme="majorBidi" w:cstheme="majorBidi"/>
          <w:rtl/>
        </w:rPr>
        <w:t xml:space="preserve"> כגון לצל, ואמירת הקטן לא תועיל! (על פי חברותא יג</w:t>
      </w:r>
      <w:r>
        <w:rPr>
          <w:rFonts w:asciiTheme="majorBidi" w:hAnsiTheme="majorBidi" w:cstheme="majorBidi" w:hint="cs"/>
          <w:rtl/>
        </w:rPr>
        <w:t>,</w:t>
      </w:r>
      <w:r w:rsidRPr="00FE25B3">
        <w:rPr>
          <w:rFonts w:asciiTheme="majorBidi" w:hAnsiTheme="majorBidi" w:cstheme="majorBidi"/>
          <w:rtl/>
        </w:rPr>
        <w:t xml:space="preserve">  א הערה 105 לפי דברי הרב אלישיב)</w:t>
      </w:r>
      <w:r>
        <w:rPr>
          <w:rFonts w:asciiTheme="majorBidi" w:hAnsiTheme="majorBidi" w:cstheme="majorBidi" w:hint="cs"/>
          <w:rtl/>
        </w:rPr>
        <w:t>.</w:t>
      </w:r>
    </w:p>
  </w:footnote>
  <w:footnote w:id="21">
    <w:p w14:paraId="5917D26A" w14:textId="77777777" w:rsidR="00FD58DD" w:rsidRPr="005C469B" w:rsidRDefault="00FD58DD" w:rsidP="00FD58DD">
      <w:pPr>
        <w:pStyle w:val="a3"/>
        <w:rPr>
          <w:rFonts w:asciiTheme="majorBidi" w:hAnsiTheme="majorBidi" w:cstheme="majorBidi"/>
          <w:rtl/>
        </w:rPr>
      </w:pPr>
      <w:r w:rsidRPr="005C469B">
        <w:rPr>
          <w:rStyle w:val="a5"/>
          <w:rFonts w:asciiTheme="majorBidi" w:hAnsiTheme="majorBidi" w:cstheme="majorBidi"/>
        </w:rPr>
        <w:footnoteRef/>
      </w:r>
      <w:r w:rsidRPr="005C469B">
        <w:rPr>
          <w:rFonts w:asciiTheme="majorBidi" w:hAnsiTheme="majorBidi" w:cstheme="majorBidi"/>
          <w:rtl/>
        </w:rPr>
        <w:t xml:space="preserve"> </w:t>
      </w:r>
      <w:r w:rsidRPr="005C469B">
        <w:rPr>
          <w:rFonts w:asciiTheme="majorBidi" w:hAnsiTheme="majorBidi" w:cstheme="majorBidi"/>
          <w:rtl/>
        </w:rPr>
        <w:t>מהרש"א.</w:t>
      </w:r>
    </w:p>
  </w:footnote>
  <w:footnote w:id="22">
    <w:p w14:paraId="01F01988" w14:textId="77777777" w:rsidR="00FD58DD" w:rsidRPr="00384C67" w:rsidRDefault="00FD58DD" w:rsidP="00FD58DD">
      <w:pPr>
        <w:spacing w:after="0" w:line="360" w:lineRule="auto"/>
        <w:rPr>
          <w:rFonts w:asciiTheme="majorBidi" w:hAnsiTheme="majorBidi" w:cstheme="majorBidi"/>
          <w:sz w:val="20"/>
          <w:szCs w:val="20"/>
        </w:rPr>
      </w:pPr>
      <w:r w:rsidRPr="00384C67">
        <w:rPr>
          <w:rStyle w:val="a5"/>
          <w:rFonts w:asciiTheme="majorBidi" w:hAnsiTheme="majorBidi" w:cstheme="majorBidi"/>
          <w:sz w:val="20"/>
          <w:szCs w:val="20"/>
        </w:rPr>
        <w:footnoteRef/>
      </w:r>
      <w:r w:rsidRPr="00384C67">
        <w:rPr>
          <w:rFonts w:asciiTheme="majorBidi" w:hAnsiTheme="majorBidi" w:cstheme="majorBidi"/>
          <w:sz w:val="20"/>
          <w:szCs w:val="20"/>
          <w:rtl/>
        </w:rPr>
        <w:t xml:space="preserve"> </w:t>
      </w:r>
      <w:r>
        <w:rPr>
          <w:rFonts w:asciiTheme="majorBidi" w:hAnsiTheme="majorBidi" w:cstheme="majorBidi"/>
          <w:sz w:val="20"/>
          <w:szCs w:val="20"/>
          <w:rtl/>
        </w:rPr>
        <w:t>רמב"ם</w:t>
      </w:r>
      <w:r w:rsidRPr="00384C67">
        <w:rPr>
          <w:rFonts w:asciiTheme="majorBidi" w:hAnsiTheme="majorBidi" w:cstheme="majorBidi"/>
          <w:sz w:val="20"/>
          <w:szCs w:val="20"/>
          <w:rtl/>
        </w:rPr>
        <w:t xml:space="preserve"> פסולי המוקדשין פרק א הלכה ו.</w:t>
      </w:r>
    </w:p>
  </w:footnote>
  <w:footnote w:id="23">
    <w:p w14:paraId="731034E5" w14:textId="77777777" w:rsidR="00FD58DD" w:rsidRPr="00384C67" w:rsidRDefault="00FD58DD" w:rsidP="00FD58DD">
      <w:pPr>
        <w:spacing w:after="0" w:line="360" w:lineRule="auto"/>
        <w:rPr>
          <w:rFonts w:asciiTheme="majorBidi" w:hAnsiTheme="majorBidi" w:cstheme="majorBidi"/>
          <w:sz w:val="20"/>
          <w:szCs w:val="20"/>
        </w:rPr>
      </w:pPr>
      <w:r w:rsidRPr="00384C67">
        <w:rPr>
          <w:rStyle w:val="a5"/>
          <w:rFonts w:asciiTheme="majorBidi" w:hAnsiTheme="majorBidi" w:cstheme="majorBidi"/>
          <w:sz w:val="20"/>
          <w:szCs w:val="20"/>
        </w:rPr>
        <w:footnoteRef/>
      </w:r>
      <w:r w:rsidRPr="00384C67">
        <w:rPr>
          <w:rFonts w:asciiTheme="majorBidi" w:hAnsiTheme="majorBidi" w:cstheme="majorBidi"/>
          <w:sz w:val="20"/>
          <w:szCs w:val="20"/>
          <w:rtl/>
        </w:rPr>
        <w:t xml:space="preserve"> </w:t>
      </w:r>
      <w:r>
        <w:rPr>
          <w:rFonts w:asciiTheme="majorBidi" w:hAnsiTheme="majorBidi" w:cstheme="majorBidi"/>
          <w:sz w:val="20"/>
          <w:szCs w:val="20"/>
          <w:rtl/>
        </w:rPr>
        <w:t>רמב"ם</w:t>
      </w:r>
      <w:r w:rsidRPr="00384C67">
        <w:rPr>
          <w:rFonts w:asciiTheme="majorBidi" w:hAnsiTheme="majorBidi" w:cstheme="majorBidi"/>
          <w:sz w:val="20"/>
          <w:szCs w:val="20"/>
          <w:rtl/>
        </w:rPr>
        <w:t xml:space="preserve"> טומאת אוכלין פרק יד הלכה ב.</w:t>
      </w:r>
    </w:p>
  </w:footnote>
  <w:footnote w:id="24">
    <w:p w14:paraId="4FCA21C4" w14:textId="77777777" w:rsidR="00FD58DD" w:rsidRPr="000A2FFD" w:rsidRDefault="00FD58DD" w:rsidP="00FD58DD">
      <w:pPr>
        <w:pStyle w:val="a3"/>
        <w:spacing w:line="360" w:lineRule="auto"/>
        <w:rPr>
          <w:rFonts w:asciiTheme="majorBidi" w:hAnsiTheme="majorBidi" w:cstheme="majorBidi"/>
          <w:rtl/>
        </w:rPr>
      </w:pPr>
      <w:r w:rsidRPr="000A2FFD">
        <w:rPr>
          <w:rStyle w:val="a5"/>
          <w:rFonts w:asciiTheme="majorBidi" w:hAnsiTheme="majorBidi" w:cstheme="majorBidi"/>
        </w:rPr>
        <w:footnoteRef/>
      </w:r>
      <w:r w:rsidRPr="000A2FFD">
        <w:rPr>
          <w:rFonts w:asciiTheme="majorBidi" w:hAnsiTheme="majorBidi" w:cstheme="majorBidi"/>
          <w:rtl/>
        </w:rPr>
        <w:t xml:space="preserve"> </w:t>
      </w:r>
      <w:r w:rsidRPr="000A2FFD">
        <w:rPr>
          <w:rFonts w:asciiTheme="majorBidi" w:hAnsiTheme="majorBidi" w:cstheme="majorBidi"/>
          <w:rtl/>
        </w:rPr>
        <w:t>לחם משנה.</w:t>
      </w:r>
    </w:p>
  </w:footnote>
  <w:footnote w:id="25">
    <w:p w14:paraId="187E2E41" w14:textId="77777777" w:rsidR="00FD58DD" w:rsidRPr="000A2FFD" w:rsidRDefault="00FD58DD" w:rsidP="00FD58DD">
      <w:pPr>
        <w:spacing w:after="0" w:line="360" w:lineRule="auto"/>
        <w:rPr>
          <w:rFonts w:asciiTheme="majorBidi" w:hAnsiTheme="majorBidi" w:cstheme="majorBidi"/>
          <w:sz w:val="20"/>
          <w:szCs w:val="20"/>
        </w:rPr>
      </w:pPr>
      <w:r w:rsidRPr="000A2FFD">
        <w:rPr>
          <w:rStyle w:val="a5"/>
          <w:sz w:val="20"/>
          <w:szCs w:val="20"/>
        </w:rPr>
        <w:footnoteRef/>
      </w:r>
      <w:r w:rsidRPr="000A2FFD">
        <w:rPr>
          <w:sz w:val="20"/>
          <w:szCs w:val="20"/>
          <w:rtl/>
        </w:rPr>
        <w:t xml:space="preserve"> </w:t>
      </w:r>
      <w:r>
        <w:rPr>
          <w:rFonts w:asciiTheme="majorBidi" w:hAnsiTheme="majorBidi" w:cs="Times New Roman"/>
          <w:sz w:val="20"/>
          <w:szCs w:val="20"/>
          <w:rtl/>
        </w:rPr>
        <w:t>רמב"ם</w:t>
      </w:r>
      <w:r w:rsidRPr="000A2FFD">
        <w:rPr>
          <w:rFonts w:asciiTheme="majorBidi" w:hAnsiTheme="majorBidi" w:cs="Times New Roman"/>
          <w:sz w:val="20"/>
          <w:szCs w:val="20"/>
          <w:rtl/>
        </w:rPr>
        <w:t xml:space="preserve"> כלים פרק ב הלכה א</w:t>
      </w:r>
      <w:r>
        <w:rPr>
          <w:rFonts w:asciiTheme="majorBidi" w:hAnsiTheme="majorBidi" w:cs="Times New Roman" w:hint="cs"/>
          <w:sz w:val="20"/>
          <w:szCs w:val="20"/>
          <w:rtl/>
        </w:rPr>
        <w:t>.</w:t>
      </w:r>
    </w:p>
  </w:footnote>
  <w:footnote w:id="26">
    <w:p w14:paraId="3BC1231E" w14:textId="77777777" w:rsidR="00FD58DD" w:rsidRPr="000A2FFD" w:rsidRDefault="00FD58DD" w:rsidP="00FD58DD">
      <w:pPr>
        <w:pStyle w:val="a3"/>
        <w:spacing w:line="360" w:lineRule="auto"/>
        <w:rPr>
          <w:rFonts w:asciiTheme="majorBidi" w:hAnsiTheme="majorBidi" w:cstheme="majorBidi"/>
          <w:rtl/>
        </w:rPr>
      </w:pPr>
      <w:r w:rsidRPr="000A2FFD">
        <w:rPr>
          <w:rStyle w:val="a5"/>
          <w:rFonts w:asciiTheme="majorBidi" w:hAnsiTheme="majorBidi" w:cstheme="majorBidi"/>
        </w:rPr>
        <w:footnoteRef/>
      </w:r>
      <w:r w:rsidRPr="000A2FFD">
        <w:rPr>
          <w:rFonts w:asciiTheme="majorBidi" w:hAnsiTheme="majorBidi" w:cstheme="majorBidi"/>
          <w:rtl/>
        </w:rPr>
        <w:t xml:space="preserve"> </w:t>
      </w:r>
      <w:r w:rsidRPr="000A2FFD">
        <w:rPr>
          <w:rFonts w:asciiTheme="majorBidi" w:hAnsiTheme="majorBidi" w:cstheme="majorBidi"/>
          <w:rtl/>
        </w:rPr>
        <w:t>משנה למלך.</w:t>
      </w:r>
    </w:p>
  </w:footnote>
  <w:footnote w:id="27">
    <w:p w14:paraId="7B6D15E1" w14:textId="77777777" w:rsidR="00FD58DD" w:rsidRPr="00334418" w:rsidRDefault="00FD58DD" w:rsidP="00FD58DD">
      <w:pPr>
        <w:pStyle w:val="a3"/>
        <w:rPr>
          <w:rtl/>
        </w:rPr>
      </w:pPr>
      <w:r w:rsidRPr="00334418">
        <w:rPr>
          <w:rStyle w:val="a5"/>
        </w:rPr>
        <w:footnoteRef/>
      </w:r>
      <w:r w:rsidRPr="00334418">
        <w:rPr>
          <w:rtl/>
        </w:rPr>
        <w:t xml:space="preserve"> </w:t>
      </w:r>
      <w:r w:rsidRPr="00334418">
        <w:rPr>
          <w:rFonts w:asciiTheme="majorBidi" w:hAnsiTheme="majorBidi" w:cstheme="majorBidi" w:hint="cs"/>
          <w:rtl/>
        </w:rPr>
        <w:t xml:space="preserve">חסדי דוד לתוספתא בבא מציעא </w:t>
      </w:r>
      <w:r w:rsidRPr="00334418">
        <w:rPr>
          <w:rFonts w:asciiTheme="majorBidi" w:hAnsiTheme="majorBidi" w:cstheme="majorBidi"/>
          <w:rtl/>
        </w:rPr>
        <w:t>ז ז</w:t>
      </w:r>
      <w:r w:rsidRPr="00334418">
        <w:rPr>
          <w:rFonts w:hint="cs"/>
          <w:rtl/>
        </w:rPr>
        <w:t xml:space="preserve"> </w:t>
      </w:r>
      <w:r w:rsidRPr="00334418">
        <w:rPr>
          <w:rFonts w:asciiTheme="majorBidi" w:hAnsiTheme="majorBidi" w:cstheme="majorBidi"/>
          <w:rtl/>
        </w:rPr>
        <w:t>וערו</w:t>
      </w:r>
      <w:r w:rsidRPr="00334418">
        <w:rPr>
          <w:rFonts w:asciiTheme="majorBidi" w:hAnsiTheme="majorBidi" w:cstheme="majorBidi" w:hint="cs"/>
          <w:rtl/>
        </w:rPr>
        <w:t>ך השולחן העתיד</w:t>
      </w:r>
      <w:r w:rsidRPr="00334418">
        <w:rPr>
          <w:rFonts w:asciiTheme="majorBidi" w:hAnsiTheme="majorBidi" w:cstheme="majorBidi"/>
          <w:rtl/>
        </w:rPr>
        <w:t xml:space="preserve"> קדשים קכג יד</w:t>
      </w:r>
      <w:r w:rsidRPr="00334418">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27932"/>
    <w:multiLevelType w:val="hybridMultilevel"/>
    <w:tmpl w:val="E0943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67649"/>
    <w:multiLevelType w:val="hybridMultilevel"/>
    <w:tmpl w:val="4DAAF078"/>
    <w:lvl w:ilvl="0" w:tplc="5CE8B3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DD"/>
    <w:rsid w:val="002A32D5"/>
    <w:rsid w:val="003D18CE"/>
    <w:rsid w:val="00E11765"/>
    <w:rsid w:val="00FD58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F84F"/>
  <w15:chartTrackingRefBased/>
  <w15:docId w15:val="{5FC4DC24-B064-4C05-AC48-C0120C82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8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58DD"/>
    <w:pPr>
      <w:spacing w:after="0" w:line="240" w:lineRule="auto"/>
    </w:pPr>
    <w:rPr>
      <w:sz w:val="20"/>
      <w:szCs w:val="20"/>
    </w:rPr>
  </w:style>
  <w:style w:type="character" w:customStyle="1" w:styleId="a4">
    <w:name w:val="טקסט הערת שוליים תו"/>
    <w:basedOn w:val="a0"/>
    <w:link w:val="a3"/>
    <w:uiPriority w:val="99"/>
    <w:rsid w:val="00FD58DD"/>
    <w:rPr>
      <w:sz w:val="20"/>
      <w:szCs w:val="20"/>
    </w:rPr>
  </w:style>
  <w:style w:type="character" w:styleId="a5">
    <w:name w:val="footnote reference"/>
    <w:basedOn w:val="a0"/>
    <w:uiPriority w:val="99"/>
    <w:semiHidden/>
    <w:unhideWhenUsed/>
    <w:rsid w:val="00FD58DD"/>
    <w:rPr>
      <w:vertAlign w:val="superscript"/>
    </w:rPr>
  </w:style>
  <w:style w:type="paragraph" w:styleId="a6">
    <w:name w:val="List Paragraph"/>
    <w:basedOn w:val="a"/>
    <w:uiPriority w:val="34"/>
    <w:qFormat/>
    <w:rsid w:val="00FD58DD"/>
    <w:pPr>
      <w:ind w:left="720"/>
      <w:contextualSpacing/>
    </w:pPr>
  </w:style>
  <w:style w:type="table" w:styleId="a7">
    <w:name w:val="Table Grid"/>
    <w:basedOn w:val="a1"/>
    <w:uiPriority w:val="39"/>
    <w:rsid w:val="00FD58DD"/>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6203</Characters>
  <Application>Microsoft Office Word</Application>
  <DocSecurity>0</DocSecurity>
  <Lines>51</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2026-03-16T11:53:00Z</dcterms:created>
  <dcterms:modified xsi:type="dcterms:W3CDTF">2026-03-16T11:53:00Z</dcterms:modified>
</cp:coreProperties>
</file>