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85"/>
        <w:bidiVisual/>
        <w:tblW w:w="10348" w:type="dxa"/>
        <w:tblLook w:val="04A0" w:firstRow="1" w:lastRow="0" w:firstColumn="1" w:lastColumn="0" w:noHBand="0" w:noVBand="1"/>
      </w:tblPr>
      <w:tblGrid>
        <w:gridCol w:w="1701"/>
        <w:gridCol w:w="4110"/>
        <w:gridCol w:w="4537"/>
      </w:tblGrid>
      <w:tr w:rsidR="005F3074" w:rsidTr="005F3074">
        <w:tc>
          <w:tcPr>
            <w:tcW w:w="10348" w:type="dxa"/>
            <w:gridSpan w:val="3"/>
          </w:tcPr>
          <w:p w:rsidR="005F3074" w:rsidRDefault="005F3074" w:rsidP="005F3074">
            <w:pPr>
              <w:jc w:val="center"/>
              <w:rPr>
                <w:rtl/>
              </w:rPr>
            </w:pPr>
            <w:r w:rsidRPr="0075415F">
              <w:rPr>
                <w:rFonts w:hint="cs"/>
                <w:b/>
                <w:bCs/>
                <w:highlight w:val="yellow"/>
                <w:rtl/>
              </w:rPr>
              <w:t>דברים שבין בית שמאי ובית הלל</w:t>
            </w:r>
          </w:p>
        </w:tc>
      </w:tr>
      <w:tr w:rsidR="005F3074" w:rsidTr="005F3074">
        <w:tc>
          <w:tcPr>
            <w:tcW w:w="1701" w:type="dxa"/>
          </w:tcPr>
          <w:p w:rsidR="005F3074" w:rsidRDefault="005F3074" w:rsidP="005F3074">
            <w:pPr>
              <w:rPr>
                <w:rtl/>
              </w:rPr>
            </w:pPr>
          </w:p>
        </w:tc>
        <w:tc>
          <w:tcPr>
            <w:tcW w:w="4110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בית שמאי</w:t>
            </w:r>
          </w:p>
        </w:tc>
        <w:tc>
          <w:tcPr>
            <w:tcW w:w="4537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בית הלל</w:t>
            </w:r>
          </w:p>
        </w:tc>
      </w:tr>
      <w:tr w:rsidR="005F3074" w:rsidTr="005F3074">
        <w:tc>
          <w:tcPr>
            <w:tcW w:w="1701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מה קודם בברכת הקידוש  ברכת היין או הזמן</w:t>
            </w:r>
          </w:p>
        </w:tc>
        <w:tc>
          <w:tcPr>
            <w:tcW w:w="4110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היום (שהיום גורם ליין, וכבר קידש היום) </w:t>
            </w:r>
          </w:p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וכל זה בכניסת שבת שעדיף להקדים את כניסתה אבל בצאת שבת עדיף לאחר את היציאה ולכן בהבדלה יבריך על היין ואח"כ את ברכת היום (המבדיל)</w:t>
            </w:r>
          </w:p>
        </w:tc>
        <w:tc>
          <w:tcPr>
            <w:tcW w:w="4537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יין (מקדשים רק על יין והוא תדיר). וכך הלכה. </w:t>
            </w:r>
          </w:p>
        </w:tc>
      </w:tr>
      <w:tr w:rsidR="005F3074" w:rsidTr="005F3074">
        <w:tc>
          <w:tcPr>
            <w:tcW w:w="1701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מתי מותר לשתות יין בין הקידוש לפת</w:t>
            </w:r>
          </w:p>
        </w:tc>
        <w:tc>
          <w:tcPr>
            <w:tcW w:w="4110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אחרי נטילה</w:t>
            </w:r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גזרה שמא יטמאו משקין שאחורי הכוס מחמת ידיו ויחזרו </w:t>
            </w:r>
            <w:r w:rsidRPr="001727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ויטמאו את הכוס</w:t>
            </w:r>
          </w:p>
        </w:tc>
        <w:tc>
          <w:tcPr>
            <w:tcW w:w="4537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לפני נטילה</w:t>
            </w:r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גזרה שמא יטמאו משקין </w:t>
            </w:r>
            <w:proofErr w:type="spellStart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שבידים</w:t>
            </w:r>
            <w:proofErr w:type="spellEnd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מחמת הכוס ויחזרו </w:t>
            </w:r>
            <w:r w:rsidRPr="001727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ויטמאו את </w:t>
            </w:r>
            <w:proofErr w:type="spellStart"/>
            <w:r w:rsidRPr="001727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הידים</w:t>
            </w:r>
            <w:proofErr w:type="spellEnd"/>
          </w:p>
        </w:tc>
      </w:tr>
      <w:tr w:rsidR="005F3074" w:rsidTr="005F3074">
        <w:tc>
          <w:tcPr>
            <w:tcW w:w="1701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היכן מניחים את הפת </w:t>
            </w:r>
            <w:proofErr w:type="spellStart"/>
            <w:r>
              <w:rPr>
                <w:rFonts w:hint="cs"/>
                <w:rtl/>
              </w:rPr>
              <w:t>שמקנחין</w:t>
            </w:r>
            <w:proofErr w:type="spellEnd"/>
            <w:r>
              <w:rPr>
                <w:rFonts w:hint="cs"/>
                <w:rtl/>
              </w:rPr>
              <w:t xml:space="preserve"> בה הידיים</w:t>
            </w:r>
          </w:p>
        </w:tc>
        <w:tc>
          <w:tcPr>
            <w:tcW w:w="4110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על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השלחן</w:t>
            </w:r>
            <w:proofErr w:type="spellEnd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גזרה שמא יטמאו משקין שבמפה מחמת הכסת ויחזרו </w:t>
            </w:r>
            <w:r w:rsidRPr="006A3FE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ויטמאו את </w:t>
            </w:r>
            <w:proofErr w:type="spellStart"/>
            <w:r w:rsidRPr="006A3FE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הידים</w:t>
            </w:r>
            <w:proofErr w:type="spellEnd"/>
          </w:p>
        </w:tc>
        <w:tc>
          <w:tcPr>
            <w:tcW w:w="4537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על הכסת</w:t>
            </w:r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גזרה שמא יטמאו משקים שבמפה מחמת </w:t>
            </w:r>
            <w:proofErr w:type="spellStart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השלחן</w:t>
            </w:r>
            <w:proofErr w:type="spellEnd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ויחזרו ויטמאו את </w:t>
            </w:r>
            <w:proofErr w:type="spellStart"/>
            <w:r w:rsidRPr="00A5767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האוכלין</w:t>
            </w:r>
            <w:proofErr w:type="spellEnd"/>
          </w:p>
        </w:tc>
      </w:tr>
      <w:tr w:rsidR="005F3074" w:rsidTr="005F3074">
        <w:tc>
          <w:tcPr>
            <w:tcW w:w="1701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מתי עושים </w:t>
            </w:r>
            <w:proofErr w:type="spellStart"/>
            <w:r>
              <w:rPr>
                <w:rFonts w:hint="cs"/>
                <w:rtl/>
              </w:rPr>
              <w:t>מיים</w:t>
            </w:r>
            <w:proofErr w:type="spellEnd"/>
            <w:r>
              <w:rPr>
                <w:rFonts w:hint="cs"/>
                <w:rtl/>
              </w:rPr>
              <w:t xml:space="preserve"> אחרונים </w:t>
            </w:r>
          </w:p>
        </w:tc>
        <w:tc>
          <w:tcPr>
            <w:tcW w:w="4110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אחרי כיבוד הבית  מחשש הפסד </w:t>
            </w:r>
            <w:proofErr w:type="spellStart"/>
            <w:r>
              <w:rPr>
                <w:rFonts w:hint="cs"/>
                <w:rtl/>
              </w:rPr>
              <w:t>אוכלין</w:t>
            </w:r>
            <w:proofErr w:type="spellEnd"/>
            <w:r>
              <w:rPr>
                <w:rFonts w:hint="cs"/>
                <w:rtl/>
              </w:rPr>
              <w:t xml:space="preserve">  שלא חייב שמש ת"ח והוא ישאיר </w:t>
            </w:r>
            <w:proofErr w:type="spellStart"/>
            <w:r>
              <w:rPr>
                <w:rFonts w:hint="cs"/>
                <w:rtl/>
              </w:rPr>
              <w:t>פרורין</w:t>
            </w:r>
            <w:proofErr w:type="spellEnd"/>
            <w:r>
              <w:rPr>
                <w:rFonts w:hint="cs"/>
                <w:rtl/>
              </w:rPr>
              <w:t xml:space="preserve"> כזית </w:t>
            </w:r>
            <w:proofErr w:type="spellStart"/>
            <w:r>
              <w:rPr>
                <w:rFonts w:hint="cs"/>
                <w:rtl/>
              </w:rPr>
              <w:t>שיפסדו</w:t>
            </w:r>
            <w:proofErr w:type="spellEnd"/>
          </w:p>
        </w:tc>
        <w:tc>
          <w:tcPr>
            <w:tcW w:w="4537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לפני הכיבוד כי חייב שהשמש יהיה ת"ח ובוודאי הוא יפנה את </w:t>
            </w:r>
            <w:proofErr w:type="spellStart"/>
            <w:r>
              <w:rPr>
                <w:rFonts w:hint="cs"/>
                <w:rtl/>
              </w:rPr>
              <w:t>האוכלין</w:t>
            </w:r>
            <w:proofErr w:type="spellEnd"/>
          </w:p>
        </w:tc>
      </w:tr>
      <w:tr w:rsidR="005F3074" w:rsidTr="005F3074">
        <w:tc>
          <w:tcPr>
            <w:tcW w:w="1701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שיש כוס אחת למזון והבדלה מה הסדר</w:t>
            </w:r>
          </w:p>
        </w:tc>
        <w:tc>
          <w:tcPr>
            <w:tcW w:w="4110" w:type="dxa"/>
          </w:tcPr>
          <w:p w:rsidR="005F3074" w:rsidRDefault="005F3074" w:rsidP="005F3074">
            <w:pPr>
              <w:rPr>
                <w:rFonts w:hint="cs"/>
                <w:rtl/>
              </w:rPr>
            </w:pPr>
            <w:r w:rsidRPr="0023036E">
              <w:rPr>
                <w:rFonts w:hint="cs"/>
                <w:b/>
                <w:bCs/>
                <w:rtl/>
              </w:rPr>
              <w:t>לדעת ר"מ</w:t>
            </w:r>
            <w:r>
              <w:rPr>
                <w:rFonts w:hint="cs"/>
                <w:rtl/>
              </w:rPr>
              <w:t xml:space="preserve">  :הגפן </w:t>
            </w:r>
            <w:r w:rsidRPr="0023036E">
              <w:rPr>
                <w:rFonts w:hint="cs"/>
                <w:rtl/>
              </w:rPr>
              <w:t>נר מזון בשמים</w:t>
            </w:r>
            <w:r>
              <w:rPr>
                <w:rFonts w:hint="cs"/>
                <w:rtl/>
              </w:rPr>
              <w:t xml:space="preserve"> הבדלה </w:t>
            </w:r>
          </w:p>
          <w:p w:rsidR="005F3074" w:rsidRDefault="005F3074" w:rsidP="005F3074">
            <w:pPr>
              <w:rPr>
                <w:rtl/>
              </w:rPr>
            </w:pPr>
            <w:r w:rsidRPr="0023036E">
              <w:rPr>
                <w:rFonts w:hint="cs"/>
                <w:b/>
                <w:bCs/>
                <w:rtl/>
              </w:rPr>
              <w:t>לדעת רבי יהודה</w:t>
            </w:r>
            <w:r>
              <w:rPr>
                <w:rFonts w:hint="cs"/>
                <w:rtl/>
              </w:rPr>
              <w:t xml:space="preserve">: מזון מאור בשמים הבדלה </w:t>
            </w:r>
          </w:p>
        </w:tc>
        <w:tc>
          <w:tcPr>
            <w:tcW w:w="4537" w:type="dxa"/>
          </w:tcPr>
          <w:p w:rsidR="005F3074" w:rsidRDefault="005F3074" w:rsidP="005F3074">
            <w:pPr>
              <w:rPr>
                <w:rFonts w:hint="cs"/>
                <w:rtl/>
              </w:rPr>
            </w:pPr>
            <w:r w:rsidRPr="0023036E">
              <w:rPr>
                <w:rFonts w:hint="cs"/>
                <w:b/>
                <w:bCs/>
                <w:rtl/>
              </w:rPr>
              <w:t>לדעת ר"מ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הגפן </w:t>
            </w:r>
            <w:r w:rsidRPr="0023036E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נר ובשמים</w:t>
            </w:r>
            <w:r w:rsidRPr="007E6AC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מזון והבדלה</w:t>
            </w:r>
          </w:p>
          <w:p w:rsidR="005F3074" w:rsidRDefault="005F3074" w:rsidP="005F3074">
            <w:pPr>
              <w:rPr>
                <w:rtl/>
              </w:rPr>
            </w:pPr>
            <w:r w:rsidRPr="0023036E">
              <w:rPr>
                <w:rFonts w:hint="cs"/>
                <w:b/>
                <w:bCs/>
                <w:rtl/>
              </w:rPr>
              <w:t>לדעת רבי יהודה</w:t>
            </w:r>
            <w:r>
              <w:rPr>
                <w:rFonts w:hint="cs"/>
                <w:rtl/>
              </w:rPr>
              <w:t>: מזון  בשמים מאור הבדלה</w:t>
            </w:r>
          </w:p>
        </w:tc>
      </w:tr>
      <w:tr w:rsidR="005F3074" w:rsidTr="005F3074">
        <w:tc>
          <w:tcPr>
            <w:tcW w:w="1701" w:type="dxa"/>
          </w:tcPr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מה ברכים על האש</w:t>
            </w:r>
          </w:p>
        </w:tc>
        <w:tc>
          <w:tcPr>
            <w:tcW w:w="4110" w:type="dxa"/>
          </w:tcPr>
          <w:p w:rsidR="005F3074" w:rsidRDefault="005F3074" w:rsidP="005F3074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שברא מאור האש</w:t>
            </w:r>
            <w:r>
              <w:rPr>
                <w:rFonts w:hint="cs"/>
                <w:rtl/>
              </w:rPr>
              <w:t xml:space="preserve"> </w:t>
            </w:r>
          </w:p>
          <w:p w:rsidR="005F3074" w:rsidRDefault="005F3074" w:rsidP="005F307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לרבא</w:t>
            </w:r>
            <w:proofErr w:type="spellEnd"/>
            <w:r>
              <w:rPr>
                <w:rFonts w:hint="cs"/>
                <w:rtl/>
              </w:rPr>
              <w:t xml:space="preserve">  ב"ש סוברים בורא עתיד </w:t>
            </w:r>
            <w:proofErr w:type="spellStart"/>
            <w:r>
              <w:rPr>
                <w:rFonts w:hint="cs"/>
                <w:rtl/>
              </w:rPr>
              <w:t>לברא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>ולרב יוסף בש"א  יש מאור אחד לאש.</w:t>
            </w:r>
          </w:p>
        </w:tc>
        <w:tc>
          <w:tcPr>
            <w:tcW w:w="4537" w:type="dxa"/>
          </w:tcPr>
          <w:p w:rsidR="005F3074" w:rsidRDefault="005F3074" w:rsidP="005F3074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בורא מאורי האש</w:t>
            </w:r>
            <w:r>
              <w:rPr>
                <w:rFonts w:hint="cs"/>
                <w:rtl/>
              </w:rPr>
              <w:t xml:space="preserve"> </w:t>
            </w:r>
          </w:p>
          <w:p w:rsidR="005F3074" w:rsidRDefault="005F3074" w:rsidP="005F307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לרבא</w:t>
            </w:r>
            <w:proofErr w:type="spellEnd"/>
            <w:r>
              <w:rPr>
                <w:rFonts w:hint="cs"/>
                <w:rtl/>
              </w:rPr>
              <w:t xml:space="preserve"> ב"ה סוברים בורא הכוונה שברא בעבר </w:t>
            </w:r>
          </w:p>
          <w:p w:rsidR="005F3074" w:rsidRDefault="005F3074" w:rsidP="005F30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ולרב יוסף בה"א  מאורי האש יש שתי מאורות בנר. </w:t>
            </w:r>
          </w:p>
        </w:tc>
      </w:tr>
    </w:tbl>
    <w:p w:rsidR="005F3074" w:rsidRPr="0032495E" w:rsidRDefault="005F3074" w:rsidP="005F3074">
      <w:pPr>
        <w:rPr>
          <w:rFonts w:ascii="Arial" w:hAnsi="Arial" w:cs="Arial"/>
          <w:color w:val="000000"/>
          <w:sz w:val="21"/>
          <w:szCs w:val="21"/>
          <w:rtl/>
        </w:rPr>
      </w:pPr>
      <w:r w:rsidRPr="0032495E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מסקנות הגמרא ללימוד ברכות </w:t>
      </w:r>
      <w:bookmarkStart w:id="0" w:name="_GoBack"/>
      <w:bookmarkEnd w:id="0"/>
      <w:r w:rsidRPr="005F3074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דף נב</w:t>
      </w:r>
    </w:p>
    <w:p w:rsidR="00D701F5" w:rsidRDefault="00D701F5"/>
    <w:sectPr w:rsidR="00D701F5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74"/>
    <w:rsid w:val="005F3074"/>
    <w:rsid w:val="00C615BF"/>
    <w:rsid w:val="00D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2012-09-22T22:00:00Z</dcterms:created>
  <dcterms:modified xsi:type="dcterms:W3CDTF">2012-09-22T22:01:00Z</dcterms:modified>
</cp:coreProperties>
</file>