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94" w:rsidRPr="001B00EA" w:rsidRDefault="00F52E94" w:rsidP="00F52E94">
      <w:pPr>
        <w:rPr>
          <w:b/>
          <w:bCs/>
          <w:i/>
          <w:iCs/>
          <w:rtl/>
        </w:rPr>
      </w:pPr>
      <w:r w:rsidRPr="001B00EA">
        <w:rPr>
          <w:rFonts w:hint="cs"/>
          <w:b/>
          <w:bCs/>
          <w:i/>
          <w:iCs/>
          <w:rtl/>
        </w:rPr>
        <w:t>נה.</w:t>
      </w:r>
    </w:p>
    <w:p w:rsidR="00F52E94" w:rsidRDefault="00F52E94" w:rsidP="00F52E94">
      <w:pPr>
        <w:rPr>
          <w:rtl/>
        </w:rPr>
      </w:pPr>
      <w:r w:rsidRPr="001B00EA">
        <w:rPr>
          <w:rFonts w:hint="cs"/>
          <w:b/>
          <w:bCs/>
          <w:rtl/>
        </w:rPr>
        <w:t>הנודר מן הדגן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לר"מ אסור בכל דמידגן כגון פול המצרי יבש, אבל מותר בפירות האילן ובירק</w:t>
      </w:r>
      <w:r>
        <w:rPr>
          <w:rStyle w:val="a5"/>
          <w:rtl/>
        </w:rPr>
        <w:footnoteReference w:id="1"/>
      </w:r>
      <w:r>
        <w:rPr>
          <w:rFonts w:hint="cs"/>
          <w:rtl/>
        </w:rPr>
        <w:t>.</w:t>
      </w:r>
      <w:r>
        <w:rPr>
          <w:rtl/>
        </w:rPr>
        <w:br/>
      </w:r>
      <w:r>
        <w:rPr>
          <w:rFonts w:hint="cs"/>
          <w:rtl/>
        </w:rPr>
        <w:t>ולחכמים אסור רק בחמשת מיני דגן.</w:t>
      </w:r>
      <w:r>
        <w:rPr>
          <w:rtl/>
        </w:rPr>
        <w:br/>
      </w:r>
      <w:r w:rsidRPr="001B00EA">
        <w:rPr>
          <w:rFonts w:hint="cs"/>
          <w:b/>
          <w:bCs/>
          <w:rtl/>
        </w:rPr>
        <w:t>הנודר מן התבואה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לכו"ע אסור רק בחמשת מיני דגן.</w:t>
      </w:r>
      <w:r>
        <w:rPr>
          <w:rFonts w:hint="cs"/>
          <w:rtl/>
        </w:rPr>
        <w:br/>
        <w:t>(בימי חזקיהו הפרישו תרומות ומעשרות אף מפירות האילן ומירק).</w:t>
      </w:r>
      <w:r>
        <w:rPr>
          <w:rStyle w:val="a5"/>
          <w:rtl/>
        </w:rPr>
        <w:footnoteReference w:id="2"/>
      </w:r>
    </w:p>
    <w:p w:rsidR="00F52E94" w:rsidRDefault="00F52E94" w:rsidP="00F52E94">
      <w:pPr>
        <w:rPr>
          <w:rtl/>
        </w:rPr>
      </w:pPr>
      <w:r w:rsidRPr="001B00EA">
        <w:rPr>
          <w:rFonts w:hint="cs"/>
          <w:b/>
          <w:bCs/>
          <w:rtl/>
        </w:rPr>
        <w:t>עללתא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לרב יוסף לרבנן הוי רק חמשת המינים, לגבי נדרים ולגבי קיום דברי המת.</w:t>
      </w:r>
      <w:r>
        <w:rPr>
          <w:rtl/>
        </w:rPr>
        <w:br/>
      </w:r>
      <w:r>
        <w:rPr>
          <w:rFonts w:hint="cs"/>
          <w:rtl/>
        </w:rPr>
        <w:t>לאביי ורבא כולל הכל.</w:t>
      </w:r>
      <w:r>
        <w:rPr>
          <w:rtl/>
        </w:rPr>
        <w:br/>
      </w:r>
      <w:r>
        <w:rPr>
          <w:rFonts w:hint="cs"/>
          <w:rtl/>
        </w:rPr>
        <w:t>ומספקא לרבא אם כולל שכר בתים וספינות.</w:t>
      </w:r>
      <w:r>
        <w:rPr>
          <w:rtl/>
        </w:rPr>
        <w:br/>
      </w:r>
      <w:r>
        <w:rPr>
          <w:rFonts w:hint="cs"/>
          <w:rtl/>
        </w:rPr>
        <w:t>ומספק יש להחמיר, דבנודר מעללתא אסור בהן, ובצוואת המת לא יטול מהן.</w:t>
      </w:r>
    </w:p>
    <w:p w:rsidR="00F52E94" w:rsidRDefault="00F52E94" w:rsidP="00F52E94">
      <w:pPr>
        <w:rPr>
          <w:rtl/>
        </w:rPr>
      </w:pPr>
      <w:r w:rsidRPr="001B00EA">
        <w:rPr>
          <w:rFonts w:hint="cs"/>
          <w:b/>
          <w:bCs/>
          <w:rtl/>
        </w:rPr>
        <w:t>מזיגא דחמרא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לרבא לפחות ג' חלקים מים על כל חלק יין.</w:t>
      </w:r>
      <w:r>
        <w:rPr>
          <w:rtl/>
        </w:rPr>
        <w:br/>
      </w:r>
      <w:r>
        <w:rPr>
          <w:rFonts w:hint="cs"/>
          <w:rtl/>
        </w:rPr>
        <w:t>כיון שעושה עצמו כמדבר תורה ניתנה לו במתנה. ואז נחלו אל, ועולה לגדולה.</w:t>
      </w:r>
      <w:r>
        <w:rPr>
          <w:rtl/>
        </w:rPr>
        <w:br/>
      </w:r>
      <w:r>
        <w:rPr>
          <w:rFonts w:hint="cs"/>
          <w:rtl/>
        </w:rPr>
        <w:t>ואם הגביה עצמו, הקב"ה משפילו ושוקפין אותו בקרקע. ואם חוזר בו הקב"ה מגביהו.</w:t>
      </w:r>
    </w:p>
    <w:p w:rsidR="00F52E94" w:rsidRPr="009217EA" w:rsidRDefault="00F52E94" w:rsidP="00F52E94">
      <w:pPr>
        <w:rPr>
          <w:b/>
          <w:bCs/>
          <w:i/>
          <w:iCs/>
          <w:rtl/>
        </w:rPr>
      </w:pPr>
      <w:r w:rsidRPr="009217EA">
        <w:rPr>
          <w:rFonts w:hint="cs"/>
          <w:b/>
          <w:bCs/>
          <w:i/>
          <w:iCs/>
          <w:rtl/>
        </w:rPr>
        <w:t>נה:</w:t>
      </w:r>
    </w:p>
    <w:p w:rsidR="00F52E94" w:rsidRDefault="00F52E94" w:rsidP="00F52E94">
      <w:pPr>
        <w:rPr>
          <w:rtl/>
        </w:rPr>
      </w:pPr>
      <w:r w:rsidRPr="009217EA">
        <w:rPr>
          <w:rFonts w:hint="cs"/>
          <w:b/>
          <w:bCs/>
          <w:rtl/>
        </w:rPr>
        <w:t>הנודר מן הדגן לר"מ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מותר בפול המצרי לח, באורז, בחילקא טרגיס וטיסני.</w:t>
      </w:r>
      <w:r>
        <w:rPr>
          <w:rStyle w:val="a5"/>
          <w:rtl/>
        </w:rPr>
        <w:footnoteReference w:id="3"/>
      </w:r>
    </w:p>
    <w:p w:rsidR="00F52E94" w:rsidRDefault="00F52E94" w:rsidP="00F52E94">
      <w:pPr>
        <w:rPr>
          <w:rtl/>
        </w:rPr>
      </w:pPr>
      <w:r w:rsidRPr="009217EA">
        <w:rPr>
          <w:rFonts w:hint="cs"/>
          <w:b/>
          <w:bCs/>
          <w:rtl/>
        </w:rPr>
        <w:t>הנודר מן פירות השנה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אסור בכל הפירות, ומותר בגדיים, טלאים, חלב, ביצים, גוזלות.</w:t>
      </w:r>
      <w:r>
        <w:rPr>
          <w:rtl/>
        </w:rPr>
        <w:br/>
      </w:r>
      <w:r w:rsidRPr="009217EA">
        <w:rPr>
          <w:rFonts w:hint="cs"/>
          <w:b/>
          <w:bCs/>
          <w:rtl/>
        </w:rPr>
        <w:t>גידולי שנה עלי לתקופה מסויימת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אסור בכולם.</w:t>
      </w:r>
      <w:r>
        <w:rPr>
          <w:rtl/>
        </w:rPr>
        <w:br/>
      </w:r>
      <w:r w:rsidRPr="009217EA">
        <w:rPr>
          <w:rFonts w:hint="cs"/>
          <w:b/>
          <w:bCs/>
          <w:rtl/>
        </w:rPr>
        <w:t>אם נדר מהן לעולם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מותר כיון דאי אפשר לקיימו.</w:t>
      </w:r>
    </w:p>
    <w:p w:rsidR="00F52E94" w:rsidRDefault="00F52E94" w:rsidP="00F52E94">
      <w:pPr>
        <w:rPr>
          <w:rtl/>
        </w:rPr>
      </w:pPr>
      <w:r w:rsidRPr="009217EA">
        <w:rPr>
          <w:rFonts w:hint="cs"/>
          <w:b/>
          <w:bCs/>
          <w:rtl/>
        </w:rPr>
        <w:t>הנודר מן פירות הארץ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אסור בכל פירות הארץ, ומותר בכמהין ופטריות.</w:t>
      </w:r>
      <w:r>
        <w:rPr>
          <w:rtl/>
        </w:rPr>
        <w:br/>
      </w:r>
      <w:r w:rsidRPr="009217EA">
        <w:rPr>
          <w:rFonts w:hint="cs"/>
          <w:b/>
          <w:bCs/>
          <w:rtl/>
        </w:rPr>
        <w:t>גידולי קרקע עלי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אסור בכולם.</w:t>
      </w:r>
      <w:r>
        <w:rPr>
          <w:rStyle w:val="a5"/>
          <w:rtl/>
        </w:rPr>
        <w:footnoteReference w:id="4"/>
      </w:r>
      <w:r>
        <w:rPr>
          <w:rtl/>
        </w:rPr>
        <w:br/>
      </w:r>
      <w:r w:rsidRPr="009217EA">
        <w:rPr>
          <w:rFonts w:hint="cs"/>
          <w:b/>
          <w:bCs/>
          <w:rtl/>
        </w:rPr>
        <w:t>על דבר שאין יונק מהקרקע</w:t>
      </w:r>
      <w:r>
        <w:rPr>
          <w:rFonts w:hint="cs"/>
          <w:rtl/>
        </w:rPr>
        <w:t xml:space="preserve"> - מברך שהכל. כגון מלח, זמית, כמהין ופטריות.</w:t>
      </w:r>
      <w:r>
        <w:rPr>
          <w:rStyle w:val="a5"/>
          <w:rtl/>
        </w:rPr>
        <w:footnoteReference w:id="5"/>
      </w:r>
    </w:p>
    <w:p w:rsidR="00F52E94" w:rsidRDefault="00F52E94" w:rsidP="00F52E94">
      <w:pPr>
        <w:rPr>
          <w:rtl/>
        </w:rPr>
      </w:pPr>
      <w:r w:rsidRPr="009217EA">
        <w:rPr>
          <w:rFonts w:hint="cs"/>
          <w:b/>
          <w:bCs/>
          <w:rtl/>
        </w:rPr>
        <w:t>תירוש</w:t>
      </w:r>
      <w:r>
        <w:rPr>
          <w:rFonts w:hint="cs"/>
          <w:rtl/>
        </w:rPr>
        <w:t xml:space="preserve"> - בלשון תורה היינו יין ולא מיני מתיקה, בלשון בנ"א בזמן חז"ל דוקא מיני מתיקה.</w:t>
      </w:r>
      <w:r>
        <w:rPr>
          <w:rtl/>
        </w:rPr>
        <w:br/>
      </w:r>
      <w:r w:rsidRPr="009217EA">
        <w:rPr>
          <w:rFonts w:hint="cs"/>
          <w:b/>
          <w:bCs/>
          <w:rtl/>
        </w:rPr>
        <w:t>הנודר מהתירוש</w:t>
      </w:r>
      <w:r>
        <w:rPr>
          <w:rFonts w:hint="cs"/>
          <w:rtl/>
        </w:rPr>
        <w:t xml:space="preserve"> - בזמן חז"ל אסור רק במיני מתיקה ומותר ביין.</w:t>
      </w:r>
      <w:r>
        <w:rPr>
          <w:rtl/>
        </w:rPr>
        <w:br/>
      </w:r>
      <w:r>
        <w:rPr>
          <w:rFonts w:hint="cs"/>
          <w:rtl/>
        </w:rPr>
        <w:t>בזמן הזה, שאין מדברים בלה"ק, הכוונה כלשון תורה ואסור רק ביין.</w:t>
      </w:r>
    </w:p>
    <w:p w:rsidR="00F52E94" w:rsidRDefault="00F52E94" w:rsidP="00F52E94">
      <w:pPr>
        <w:rPr>
          <w:rtl/>
        </w:rPr>
      </w:pPr>
      <w:r w:rsidRPr="009217EA">
        <w:rPr>
          <w:rFonts w:hint="cs"/>
          <w:b/>
          <w:bCs/>
          <w:rtl/>
        </w:rPr>
        <w:t>כל הזן עלי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אסור בכל דבר חוץ ממים ומלח.</w:t>
      </w:r>
      <w:r>
        <w:rPr>
          <w:rtl/>
        </w:rPr>
        <w:br/>
      </w:r>
      <w:r w:rsidRPr="009217EA">
        <w:rPr>
          <w:rFonts w:hint="cs"/>
          <w:b/>
          <w:bCs/>
          <w:rtl/>
        </w:rPr>
        <w:t>הנודר מן המזון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אינו אסור אלא בה' מינים.</w:t>
      </w:r>
      <w:r>
        <w:rPr>
          <w:rtl/>
        </w:rPr>
        <w:br/>
      </w:r>
      <w:r>
        <w:rPr>
          <w:rFonts w:hint="cs"/>
          <w:rtl/>
        </w:rPr>
        <w:t>(אין מברכים בורא מיני מזונות אלא על חמשת המינים בלבד).</w:t>
      </w:r>
    </w:p>
    <w:p w:rsidR="00F52E94" w:rsidRDefault="00F52E94" w:rsidP="00F52E94">
      <w:pPr>
        <w:rPr>
          <w:rtl/>
        </w:rPr>
      </w:pPr>
      <w:r w:rsidRPr="009217EA">
        <w:rPr>
          <w:rFonts w:hint="cs"/>
          <w:b/>
          <w:bCs/>
          <w:rtl/>
        </w:rPr>
        <w:t xml:space="preserve">הנודר מן הכסות </w:t>
      </w:r>
      <w:r>
        <w:rPr>
          <w:rtl/>
        </w:rPr>
        <w:t>–</w:t>
      </w:r>
      <w:r>
        <w:rPr>
          <w:rFonts w:hint="cs"/>
          <w:rtl/>
        </w:rPr>
        <w:t xml:space="preserve"> מותר בשק, ביריעה, בחמילה.</w:t>
      </w:r>
      <w:r>
        <w:rPr>
          <w:rtl/>
        </w:rPr>
        <w:br/>
      </w:r>
      <w:r>
        <w:rPr>
          <w:rFonts w:hint="cs"/>
          <w:rtl/>
        </w:rPr>
        <w:t>ואסור בפונדא, פסקיא, סקורטיא</w:t>
      </w:r>
      <w:r>
        <w:rPr>
          <w:rStyle w:val="a5"/>
          <w:rtl/>
        </w:rPr>
        <w:footnoteReference w:id="6"/>
      </w:r>
      <w:r>
        <w:rPr>
          <w:rFonts w:hint="cs"/>
          <w:rtl/>
        </w:rPr>
        <w:t>, קטבליא, אנפליא, פליניא, מכנסים, כובע.</w:t>
      </w:r>
      <w:r>
        <w:rPr>
          <w:rtl/>
        </w:rPr>
        <w:br/>
      </w:r>
      <w:r w:rsidRPr="009217EA">
        <w:rPr>
          <w:rFonts w:hint="cs"/>
          <w:b/>
          <w:bCs/>
          <w:rtl/>
        </w:rPr>
        <w:t xml:space="preserve">יוצאין בשבת </w:t>
      </w:r>
      <w:r>
        <w:rPr>
          <w:rtl/>
        </w:rPr>
        <w:t>–</w:t>
      </w:r>
      <w:r>
        <w:rPr>
          <w:rFonts w:hint="cs"/>
          <w:rtl/>
        </w:rPr>
        <w:t xml:space="preserve"> בשק עבה, בסגוס עבה, ביריעה, בחמילה ובשקים, מפני הגשמים.</w:t>
      </w:r>
      <w:r>
        <w:rPr>
          <w:rStyle w:val="a5"/>
          <w:rtl/>
        </w:rPr>
        <w:footnoteReference w:id="7"/>
      </w:r>
      <w:r>
        <w:rPr>
          <w:rtl/>
        </w:rPr>
        <w:br/>
      </w:r>
      <w:r>
        <w:rPr>
          <w:rFonts w:hint="cs"/>
          <w:rtl/>
        </w:rPr>
        <w:t xml:space="preserve">אבל אין יוצאים מפני הגשמים בתיבה, בקופה, ובמחצלת, דנחשב משוי ולא מלבוש. </w:t>
      </w:r>
    </w:p>
    <w:p w:rsidR="00F52E94" w:rsidRDefault="00F52E94" w:rsidP="00F52E94">
      <w:pPr>
        <w:rPr>
          <w:rtl/>
        </w:rPr>
      </w:pPr>
      <w:r w:rsidRPr="009217EA">
        <w:rPr>
          <w:rFonts w:hint="cs"/>
          <w:b/>
          <w:bCs/>
          <w:rtl/>
        </w:rPr>
        <w:t xml:space="preserve">קונם צמר או פשתן עולה עלי </w:t>
      </w:r>
      <w:r>
        <w:rPr>
          <w:rtl/>
        </w:rPr>
        <w:t>–</w:t>
      </w:r>
      <w:r>
        <w:rPr>
          <w:rFonts w:hint="cs"/>
          <w:rtl/>
        </w:rPr>
        <w:t xml:space="preserve"> מותר להתכסות בגיזי צמר או באניצי פשתן.</w:t>
      </w:r>
      <w:r>
        <w:rPr>
          <w:rtl/>
        </w:rPr>
        <w:br/>
      </w:r>
      <w:r w:rsidRPr="009217EA">
        <w:rPr>
          <w:rFonts w:hint="cs"/>
          <w:b/>
          <w:bCs/>
          <w:rtl/>
        </w:rPr>
        <w:t>בסתמא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לת"ק הכוונה ללבישה ולא לטעינה, ר"י במשנה מודה, אבל בברייתא ס"ל דאסור בשניהם.</w:t>
      </w:r>
      <w:r>
        <w:rPr>
          <w:rtl/>
        </w:rPr>
        <w:br/>
      </w:r>
      <w:r w:rsidRPr="009217EA">
        <w:rPr>
          <w:rFonts w:hint="cs"/>
          <w:b/>
          <w:bCs/>
          <w:rtl/>
        </w:rPr>
        <w:lastRenderedPageBreak/>
        <w:t xml:space="preserve">כשיש הוכחה שהכוונה לטעינה </w:t>
      </w:r>
      <w:r>
        <w:rPr>
          <w:rtl/>
        </w:rPr>
        <w:t>–</w:t>
      </w:r>
      <w:r>
        <w:rPr>
          <w:rFonts w:hint="cs"/>
          <w:rtl/>
        </w:rPr>
        <w:t xml:space="preserve"> אסור רק בטעינה, כגון נדר בשעה שטען והזיע.</w:t>
      </w:r>
      <w:r>
        <w:rPr>
          <w:rtl/>
        </w:rPr>
        <w:br/>
      </w:r>
      <w:r w:rsidRPr="009217EA">
        <w:rPr>
          <w:rFonts w:hint="cs"/>
          <w:b/>
          <w:bCs/>
          <w:rtl/>
        </w:rPr>
        <w:t xml:space="preserve">כשיש הוכחה שהכוונה ללבישה </w:t>
      </w:r>
      <w:r>
        <w:rPr>
          <w:rtl/>
        </w:rPr>
        <w:t>–</w:t>
      </w:r>
      <w:r>
        <w:rPr>
          <w:rFonts w:hint="cs"/>
          <w:rtl/>
        </w:rPr>
        <w:t xml:space="preserve"> אסור רק בלבישה אפי' לר"י דברייתא, </w:t>
      </w:r>
      <w:r>
        <w:rPr>
          <w:rtl/>
        </w:rPr>
        <w:br/>
      </w:r>
      <w:r>
        <w:rPr>
          <w:rFonts w:hint="cs"/>
          <w:rtl/>
        </w:rPr>
        <w:t>כגון נדר בשעה שלבוש צמר והצר לו.</w:t>
      </w:r>
      <w:r>
        <w:rPr>
          <w:rtl/>
        </w:rPr>
        <w:br/>
      </w:r>
      <w:r w:rsidRPr="009217EA">
        <w:rPr>
          <w:rFonts w:hint="cs"/>
          <w:b/>
          <w:bCs/>
          <w:rtl/>
        </w:rPr>
        <w:t>להלכה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להר"ן, בסתמא אסור רק בלבישה, נדר כשהיה טעון, אסור רק בטעינה.</w:t>
      </w:r>
      <w:r>
        <w:rPr>
          <w:rStyle w:val="a5"/>
          <w:rtl/>
        </w:rPr>
        <w:footnoteReference w:id="8"/>
      </w:r>
    </w:p>
    <w:p w:rsidR="00CC6452" w:rsidRDefault="00CC6452"/>
    <w:sectPr w:rsidR="00CC6452" w:rsidSect="00BF1BCC">
      <w:pgSz w:w="11907" w:h="16839" w:code="9"/>
      <w:pgMar w:top="1440" w:right="1797" w:bottom="1440" w:left="179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9C" w:rsidRDefault="008E209C" w:rsidP="00F52E94">
      <w:pPr>
        <w:spacing w:after="0" w:line="240" w:lineRule="auto"/>
      </w:pPr>
      <w:r>
        <w:separator/>
      </w:r>
    </w:p>
  </w:endnote>
  <w:endnote w:type="continuationSeparator" w:id="0">
    <w:p w:rsidR="008E209C" w:rsidRDefault="008E209C" w:rsidP="00F5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9C" w:rsidRDefault="008E209C" w:rsidP="00F52E94">
      <w:pPr>
        <w:spacing w:after="0" w:line="240" w:lineRule="auto"/>
      </w:pPr>
      <w:r>
        <w:separator/>
      </w:r>
    </w:p>
  </w:footnote>
  <w:footnote w:type="continuationSeparator" w:id="0">
    <w:p w:rsidR="008E209C" w:rsidRDefault="008E209C" w:rsidP="00F52E94">
      <w:pPr>
        <w:spacing w:after="0" w:line="240" w:lineRule="auto"/>
      </w:pPr>
      <w:r>
        <w:continuationSeparator/>
      </w:r>
    </w:p>
  </w:footnote>
  <w:footnote w:id="1">
    <w:p w:rsidR="00F52E94" w:rsidRDefault="00F52E94" w:rsidP="00F52E94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עי להלן בעמ' ב' עוד דברים שמותר לר"מ.</w:t>
      </w:r>
    </w:p>
  </w:footnote>
  <w:footnote w:id="2">
    <w:p w:rsidR="00F52E94" w:rsidRDefault="00F52E94" w:rsidP="00F52E94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משמע בסוגיא שהנודר מתבואת שדה </w:t>
      </w:r>
      <w:r>
        <w:rPr>
          <w:rtl/>
        </w:rPr>
        <w:t>–</w:t>
      </w:r>
      <w:r>
        <w:rPr>
          <w:rFonts w:hint="cs"/>
          <w:rtl/>
        </w:rPr>
        <w:t xml:space="preserve"> אסור לכו"ע אף בפירות האילן וירק.</w:t>
      </w:r>
    </w:p>
  </w:footnote>
  <w:footnote w:id="3">
    <w:p w:rsidR="00F52E94" w:rsidRDefault="00F52E94" w:rsidP="00F52E94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חיטה מחולקת לשנים, לשלש, לארבע. ועי' רא"ש שתמה הרי נאסר כבר בהיותו חיטה. ועי"ש דלת"א מ"מ הותר כשנחלק, ולת"ב מותר רק במה שהיה חלוק קודם שנדר.</w:t>
      </w:r>
    </w:p>
  </w:footnote>
  <w:footnote w:id="4">
    <w:p w:rsidR="00F52E94" w:rsidRDefault="00F52E94" w:rsidP="00F52E94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מסתמא גם בזה חל הנדר רק בנודר לזמן וכנ"ל.</w:t>
      </w:r>
    </w:p>
  </w:footnote>
  <w:footnote w:id="5">
    <w:p w:rsidR="00F52E94" w:rsidRDefault="00F52E94" w:rsidP="00F52E94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מלח וזמית אין גדלין בקרקע כלל, פטריות אף שגדלין מ"מ אין יונקין.</w:t>
      </w:r>
    </w:p>
  </w:footnote>
  <w:footnote w:id="6">
    <w:p w:rsidR="00F52E94" w:rsidRDefault="00F52E94" w:rsidP="00F52E94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הוא חלוק של עבדנים.</w:t>
      </w:r>
    </w:p>
  </w:footnote>
  <w:footnote w:id="7">
    <w:p w:rsidR="00F52E94" w:rsidRDefault="00F52E94" w:rsidP="00F52E94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והיינו דאף שאינו כסות לגבי נדרים, הוי מלבוש לענין הוצאת שבת.</w:t>
      </w:r>
    </w:p>
  </w:footnote>
  <w:footnote w:id="8">
    <w:p w:rsidR="00F52E94" w:rsidRDefault="00F52E94" w:rsidP="00F52E94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וכתב שדברי הרמב"ם אינם כן.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E94"/>
    <w:rsid w:val="000378D4"/>
    <w:rsid w:val="000F3487"/>
    <w:rsid w:val="00240196"/>
    <w:rsid w:val="00294D17"/>
    <w:rsid w:val="005A5BAA"/>
    <w:rsid w:val="008E209C"/>
    <w:rsid w:val="00AF7868"/>
    <w:rsid w:val="00BF1BCC"/>
    <w:rsid w:val="00C346B2"/>
    <w:rsid w:val="00CC6452"/>
    <w:rsid w:val="00F5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2E94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F52E9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2E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1687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יעקב</dc:creator>
  <cp:lastModifiedBy>יעקב</cp:lastModifiedBy>
  <cp:revision>1</cp:revision>
  <dcterms:created xsi:type="dcterms:W3CDTF">2015-07-19T20:35:00Z</dcterms:created>
  <dcterms:modified xsi:type="dcterms:W3CDTF">2015-07-19T20:36:00Z</dcterms:modified>
</cp:coreProperties>
</file>