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F6" w:rsidRDefault="006B7631">
      <w:pPr>
        <w:rPr>
          <w:rFonts w:hint="cs"/>
          <w:rtl/>
        </w:rPr>
      </w:pPr>
      <w:r>
        <w:rPr>
          <w:rFonts w:hint="cs"/>
          <w:rtl/>
        </w:rPr>
        <w:t>ב"ה                                  הערות ברש"י יבמות</w:t>
      </w:r>
    </w:p>
    <w:p w:rsidR="006B7631" w:rsidRDefault="006B7631">
      <w:pPr>
        <w:rPr>
          <w:rFonts w:hint="cs"/>
          <w:rtl/>
        </w:rPr>
      </w:pPr>
      <w:r>
        <w:rPr>
          <w:rFonts w:hint="cs"/>
          <w:rtl/>
        </w:rPr>
        <w:t xml:space="preserve">ב  ע"א </w:t>
      </w:r>
      <w:r>
        <w:rPr>
          <w:rtl/>
        </w:rPr>
        <w:t>–</w:t>
      </w:r>
      <w:r>
        <w:rPr>
          <w:rFonts w:hint="cs"/>
          <w:rtl/>
        </w:rPr>
        <w:t xml:space="preserve"> ע"ב</w:t>
      </w:r>
    </w:p>
    <w:p w:rsidR="006B7631" w:rsidRDefault="006B7631" w:rsidP="006B7631">
      <w:pPr>
        <w:rPr>
          <w:rFonts w:hint="cs"/>
          <w:rtl/>
        </w:rPr>
      </w:pPr>
      <w:r>
        <w:rPr>
          <w:rFonts w:hint="cs"/>
          <w:b/>
          <w:bCs/>
          <w:rtl/>
        </w:rPr>
        <w:t>1)</w:t>
      </w:r>
      <w:r w:rsidRPr="006B7631">
        <w:rPr>
          <w:b/>
          <w:bCs/>
          <w:rtl/>
        </w:rPr>
        <w:t>חמש עשרה נשים פוטרות צרותיהן</w:t>
      </w:r>
      <w:r w:rsidRPr="006B7631">
        <w:rPr>
          <w:rtl/>
        </w:rPr>
        <w:t xml:space="preserve">. </w:t>
      </w:r>
      <w:proofErr w:type="spellStart"/>
      <w:r w:rsidRPr="006B7631">
        <w:rPr>
          <w:rtl/>
        </w:rPr>
        <w:t>כדתני</w:t>
      </w:r>
      <w:proofErr w:type="spellEnd"/>
      <w:r w:rsidRPr="006B7631">
        <w:rPr>
          <w:rtl/>
        </w:rPr>
        <w:t xml:space="preserve"> [סיפא] שאם </w:t>
      </w:r>
      <w:proofErr w:type="spellStart"/>
      <w:r w:rsidRPr="006B7631">
        <w:rPr>
          <w:rtl/>
        </w:rPr>
        <w:t>היתה</w:t>
      </w:r>
      <w:proofErr w:type="spellEnd"/>
      <w:r w:rsidRPr="006B7631">
        <w:rPr>
          <w:rtl/>
        </w:rPr>
        <w:t xml:space="preserve"> אחת מהן נשואה לאחיו ולו </w:t>
      </w:r>
      <w:proofErr w:type="spellStart"/>
      <w:r w:rsidRPr="006B7631">
        <w:rPr>
          <w:rtl/>
        </w:rPr>
        <w:t>אשה</w:t>
      </w:r>
      <w:proofErr w:type="spellEnd"/>
      <w:r w:rsidRPr="006B7631">
        <w:rPr>
          <w:rtl/>
        </w:rPr>
        <w:t xml:space="preserve"> אחרת ומת בלא בנים שתיהן פטורות </w:t>
      </w:r>
      <w:r w:rsidRPr="006B7631">
        <w:rPr>
          <w:color w:val="FF0000"/>
          <w:rtl/>
        </w:rPr>
        <w:t xml:space="preserve">וטעמא </w:t>
      </w:r>
      <w:proofErr w:type="spellStart"/>
      <w:r w:rsidRPr="006B7631">
        <w:rPr>
          <w:color w:val="FF0000"/>
          <w:rtl/>
        </w:rPr>
        <w:t>יליף</w:t>
      </w:r>
      <w:proofErr w:type="spellEnd"/>
      <w:r w:rsidRPr="006B7631">
        <w:rPr>
          <w:color w:val="FF0000"/>
          <w:rtl/>
        </w:rPr>
        <w:t xml:space="preserve"> בגמרא:</w:t>
      </w:r>
    </w:p>
    <w:p w:rsidR="006B7631" w:rsidRDefault="006B7631" w:rsidP="006B7631">
      <w:pPr>
        <w:rPr>
          <w:rFonts w:hint="cs"/>
          <w:rtl/>
        </w:rPr>
      </w:pPr>
      <w:r w:rsidRPr="006B7631">
        <w:rPr>
          <w:b/>
          <w:bCs/>
          <w:rtl/>
        </w:rPr>
        <w:t>ואם חמותו ואם חמיו</w:t>
      </w:r>
      <w:r w:rsidRPr="006B7631">
        <w:rPr>
          <w:rtl/>
        </w:rPr>
        <w:t xml:space="preserve">. שתיהן אסורות לו משום </w:t>
      </w:r>
      <w:proofErr w:type="spellStart"/>
      <w:r w:rsidRPr="006B7631">
        <w:rPr>
          <w:rtl/>
        </w:rPr>
        <w:t>ערוה</w:t>
      </w:r>
      <w:proofErr w:type="spellEnd"/>
      <w:r w:rsidRPr="006B7631">
        <w:rPr>
          <w:rtl/>
        </w:rPr>
        <w:t xml:space="preserve"> </w:t>
      </w:r>
      <w:proofErr w:type="spellStart"/>
      <w:r w:rsidRPr="006B7631">
        <w:rPr>
          <w:rtl/>
        </w:rPr>
        <w:t>כדכתיב</w:t>
      </w:r>
      <w:proofErr w:type="spellEnd"/>
      <w:r w:rsidRPr="006B7631">
        <w:rPr>
          <w:rtl/>
        </w:rPr>
        <w:t xml:space="preserve"> (ויקרא </w:t>
      </w:r>
      <w:proofErr w:type="spellStart"/>
      <w:r w:rsidRPr="006B7631">
        <w:rPr>
          <w:rtl/>
        </w:rPr>
        <w:t>יח</w:t>
      </w:r>
      <w:proofErr w:type="spellEnd"/>
      <w:r w:rsidRPr="006B7631">
        <w:rPr>
          <w:rtl/>
        </w:rPr>
        <w:t xml:space="preserve">) ערות </w:t>
      </w:r>
      <w:proofErr w:type="spellStart"/>
      <w:r w:rsidRPr="006B7631">
        <w:rPr>
          <w:rtl/>
        </w:rPr>
        <w:t>אשה</w:t>
      </w:r>
      <w:proofErr w:type="spellEnd"/>
      <w:r w:rsidRPr="006B7631">
        <w:rPr>
          <w:rtl/>
        </w:rPr>
        <w:t xml:space="preserve"> ובתה לא תגלה את בת בנה ואת בת בתה ויש בכלל זה חמותו ואם חמותו ואם חמיו </w:t>
      </w:r>
      <w:proofErr w:type="spellStart"/>
      <w:r w:rsidRPr="006B7631">
        <w:rPr>
          <w:rtl/>
        </w:rPr>
        <w:t>כדמפרש</w:t>
      </w:r>
      <w:proofErr w:type="spellEnd"/>
      <w:r w:rsidRPr="006B7631">
        <w:rPr>
          <w:rtl/>
        </w:rPr>
        <w:t xml:space="preserve"> (ואזיל) באלו הן </w:t>
      </w:r>
      <w:proofErr w:type="spellStart"/>
      <w:r w:rsidRPr="006B7631">
        <w:rPr>
          <w:rtl/>
        </w:rPr>
        <w:t>הנשרפין</w:t>
      </w:r>
      <w:proofErr w:type="spellEnd"/>
      <w:r w:rsidRPr="006B7631">
        <w:rPr>
          <w:rtl/>
        </w:rPr>
        <w:t xml:space="preserve"> (סנהדרין ד' </w:t>
      </w:r>
      <w:proofErr w:type="spellStart"/>
      <w:r w:rsidRPr="006B7631">
        <w:rPr>
          <w:rtl/>
        </w:rPr>
        <w:t>עה</w:t>
      </w:r>
      <w:proofErr w:type="spellEnd"/>
      <w:r w:rsidRPr="006B7631">
        <w:rPr>
          <w:rtl/>
        </w:rPr>
        <w:t xml:space="preserve">.) ובתו (ובת בתו ובת בנו) </w:t>
      </w:r>
      <w:proofErr w:type="spellStart"/>
      <w:r w:rsidRPr="006B7631">
        <w:rPr>
          <w:rtl/>
        </w:rPr>
        <w:t>דהכא</w:t>
      </w:r>
      <w:proofErr w:type="spellEnd"/>
      <w:r w:rsidRPr="006B7631">
        <w:rPr>
          <w:rtl/>
        </w:rPr>
        <w:t xml:space="preserve"> בבתו </w:t>
      </w:r>
      <w:proofErr w:type="spellStart"/>
      <w:r w:rsidRPr="006B7631">
        <w:rPr>
          <w:rtl/>
        </w:rPr>
        <w:t>מאנוסתו</w:t>
      </w:r>
      <w:proofErr w:type="spellEnd"/>
      <w:r w:rsidRPr="006B7631">
        <w:rPr>
          <w:rtl/>
        </w:rPr>
        <w:t xml:space="preserve"> </w:t>
      </w:r>
      <w:proofErr w:type="spellStart"/>
      <w:r w:rsidRPr="006B7631">
        <w:rPr>
          <w:rtl/>
        </w:rPr>
        <w:t>קמיירי</w:t>
      </w:r>
      <w:proofErr w:type="spellEnd"/>
      <w:r w:rsidRPr="006B7631">
        <w:rPr>
          <w:rtl/>
        </w:rPr>
        <w:t xml:space="preserve"> וכן בת בתו ובת בנו </w:t>
      </w:r>
      <w:proofErr w:type="spellStart"/>
      <w:r w:rsidRPr="006B7631">
        <w:rPr>
          <w:rtl/>
        </w:rPr>
        <w:t>דאילו</w:t>
      </w:r>
      <w:proofErr w:type="spellEnd"/>
      <w:r w:rsidRPr="006B7631">
        <w:rPr>
          <w:rtl/>
        </w:rPr>
        <w:t xml:space="preserve"> בתו מאשתו היינו בת אשתו </w:t>
      </w:r>
      <w:proofErr w:type="spellStart"/>
      <w:r w:rsidRPr="006B7631">
        <w:rPr>
          <w:rtl/>
        </w:rPr>
        <w:t>דכיון</w:t>
      </w:r>
      <w:proofErr w:type="spellEnd"/>
      <w:r w:rsidRPr="006B7631">
        <w:rPr>
          <w:rtl/>
        </w:rPr>
        <w:t xml:space="preserve"> </w:t>
      </w:r>
      <w:proofErr w:type="spellStart"/>
      <w:r w:rsidRPr="006B7631">
        <w:rPr>
          <w:rtl/>
        </w:rPr>
        <w:t>דכתיב</w:t>
      </w:r>
      <w:proofErr w:type="spellEnd"/>
      <w:r w:rsidRPr="006B7631">
        <w:rPr>
          <w:rtl/>
        </w:rPr>
        <w:t xml:space="preserve"> (שם) </w:t>
      </w:r>
      <w:proofErr w:type="spellStart"/>
      <w:r w:rsidRPr="006B7631">
        <w:rPr>
          <w:rtl/>
        </w:rPr>
        <w:t>אשה</w:t>
      </w:r>
      <w:proofErr w:type="spellEnd"/>
      <w:r w:rsidRPr="006B7631">
        <w:rPr>
          <w:rtl/>
        </w:rPr>
        <w:t xml:space="preserve"> ובתה לא שנא ממנו </w:t>
      </w:r>
      <w:proofErr w:type="spellStart"/>
      <w:r w:rsidRPr="006B7631">
        <w:rPr>
          <w:rtl/>
        </w:rPr>
        <w:t>ל''ש</w:t>
      </w:r>
      <w:proofErr w:type="spellEnd"/>
      <w:r w:rsidRPr="006B7631">
        <w:rPr>
          <w:rtl/>
        </w:rPr>
        <w:t xml:space="preserve"> מאיש אחר אבל בתו </w:t>
      </w:r>
      <w:proofErr w:type="spellStart"/>
      <w:r w:rsidRPr="006B7631">
        <w:rPr>
          <w:rtl/>
        </w:rPr>
        <w:t>מאנוסתו</w:t>
      </w:r>
      <w:proofErr w:type="spellEnd"/>
      <w:r w:rsidRPr="006B7631">
        <w:rPr>
          <w:rtl/>
        </w:rPr>
        <w:t xml:space="preserve"> לא </w:t>
      </w:r>
      <w:proofErr w:type="spellStart"/>
      <w:r w:rsidRPr="006B7631">
        <w:rPr>
          <w:rtl/>
        </w:rPr>
        <w:t>ילפא</w:t>
      </w:r>
      <w:proofErr w:type="spellEnd"/>
      <w:r w:rsidRPr="006B7631">
        <w:rPr>
          <w:rtl/>
        </w:rPr>
        <w:t xml:space="preserve"> ליה מהכא </w:t>
      </w:r>
      <w:proofErr w:type="spellStart"/>
      <w:r w:rsidRPr="006B7631">
        <w:rPr>
          <w:rtl/>
        </w:rPr>
        <w:t>דאשה</w:t>
      </w:r>
      <w:proofErr w:type="spellEnd"/>
      <w:r w:rsidRPr="006B7631">
        <w:rPr>
          <w:rtl/>
        </w:rPr>
        <w:t xml:space="preserve"> </w:t>
      </w:r>
      <w:proofErr w:type="spellStart"/>
      <w:r w:rsidRPr="006B7631">
        <w:rPr>
          <w:rtl/>
        </w:rPr>
        <w:t>ע''י</w:t>
      </w:r>
      <w:proofErr w:type="spellEnd"/>
      <w:r w:rsidRPr="006B7631">
        <w:rPr>
          <w:rtl/>
        </w:rPr>
        <w:t xml:space="preserve"> </w:t>
      </w:r>
      <w:proofErr w:type="spellStart"/>
      <w:r w:rsidRPr="006B7631">
        <w:rPr>
          <w:rtl/>
        </w:rPr>
        <w:t>קדושין</w:t>
      </w:r>
      <w:proofErr w:type="spellEnd"/>
      <w:r w:rsidRPr="006B7631">
        <w:rPr>
          <w:rtl/>
        </w:rPr>
        <w:t xml:space="preserve"> משמע שהוא אישות </w:t>
      </w:r>
      <w:r w:rsidRPr="006B7631">
        <w:rPr>
          <w:color w:val="FF0000"/>
          <w:rtl/>
        </w:rPr>
        <w:t xml:space="preserve">ומקרא </w:t>
      </w:r>
      <w:proofErr w:type="spellStart"/>
      <w:r w:rsidRPr="006B7631">
        <w:rPr>
          <w:color w:val="FF0000"/>
          <w:rtl/>
        </w:rPr>
        <w:t>אחרינא</w:t>
      </w:r>
      <w:proofErr w:type="spellEnd"/>
      <w:r w:rsidRPr="006B7631">
        <w:rPr>
          <w:color w:val="FF0000"/>
          <w:rtl/>
        </w:rPr>
        <w:t xml:space="preserve"> נפקא </w:t>
      </w:r>
      <w:proofErr w:type="spellStart"/>
      <w:r w:rsidRPr="006B7631">
        <w:rPr>
          <w:color w:val="FF0000"/>
          <w:rtl/>
        </w:rPr>
        <w:t>כדמפרש</w:t>
      </w:r>
      <w:proofErr w:type="spellEnd"/>
      <w:r w:rsidRPr="006B7631">
        <w:rPr>
          <w:color w:val="FF0000"/>
          <w:rtl/>
        </w:rPr>
        <w:t xml:space="preserve"> בגמרא:</w:t>
      </w:r>
    </w:p>
    <w:p w:rsidR="006B7631" w:rsidRPr="006B7631" w:rsidRDefault="006B7631" w:rsidP="006B7631">
      <w:pPr>
        <w:rPr>
          <w:rFonts w:hint="cs"/>
          <w:color w:val="FF0000"/>
          <w:rtl/>
        </w:rPr>
      </w:pPr>
      <w:r w:rsidRPr="006B7631">
        <w:rPr>
          <w:b/>
          <w:bCs/>
          <w:rtl/>
        </w:rPr>
        <w:t>כך צרת צרתה</w:t>
      </w:r>
      <w:r w:rsidRPr="006B7631">
        <w:rPr>
          <w:rtl/>
        </w:rPr>
        <w:t xml:space="preserve">. אשת אחיו השני האחרת פטורה שזו </w:t>
      </w:r>
      <w:proofErr w:type="spellStart"/>
      <w:r w:rsidRPr="006B7631">
        <w:rPr>
          <w:rtl/>
        </w:rPr>
        <w:t>פוטרתה</w:t>
      </w:r>
      <w:proofErr w:type="spellEnd"/>
      <w:r w:rsidRPr="006B7631">
        <w:rPr>
          <w:rtl/>
        </w:rPr>
        <w:t xml:space="preserve"> </w:t>
      </w:r>
      <w:r w:rsidRPr="006B7631">
        <w:rPr>
          <w:color w:val="FF0000"/>
          <w:rtl/>
        </w:rPr>
        <w:t xml:space="preserve">וטעמא </w:t>
      </w:r>
      <w:proofErr w:type="spellStart"/>
      <w:r w:rsidRPr="006B7631">
        <w:rPr>
          <w:color w:val="FF0000"/>
          <w:rtl/>
        </w:rPr>
        <w:t>יליף</w:t>
      </w:r>
      <w:proofErr w:type="spellEnd"/>
      <w:r w:rsidRPr="006B7631">
        <w:rPr>
          <w:color w:val="FF0000"/>
          <w:rtl/>
        </w:rPr>
        <w:t xml:space="preserve"> בגמרא מלצרור (ויקרא </w:t>
      </w:r>
      <w:proofErr w:type="spellStart"/>
      <w:r w:rsidRPr="006B7631">
        <w:rPr>
          <w:color w:val="FF0000"/>
          <w:rtl/>
        </w:rPr>
        <w:t>יח</w:t>
      </w:r>
      <w:proofErr w:type="spellEnd"/>
      <w:r w:rsidRPr="006B7631">
        <w:rPr>
          <w:color w:val="FF0000"/>
          <w:rtl/>
        </w:rPr>
        <w:t xml:space="preserve">) שצרת </w:t>
      </w:r>
      <w:proofErr w:type="spellStart"/>
      <w:r w:rsidRPr="006B7631">
        <w:rPr>
          <w:color w:val="FF0000"/>
          <w:rtl/>
        </w:rPr>
        <w:t>ערוה</w:t>
      </w:r>
      <w:proofErr w:type="spellEnd"/>
      <w:r w:rsidRPr="006B7631">
        <w:rPr>
          <w:color w:val="FF0000"/>
          <w:rtl/>
        </w:rPr>
        <w:t xml:space="preserve"> פוטרת צרתה:</w:t>
      </w:r>
      <w:bookmarkStart w:id="0" w:name="_GoBack"/>
      <w:bookmarkEnd w:id="0"/>
    </w:p>
    <w:p w:rsidR="006B7631" w:rsidRDefault="006B7631" w:rsidP="006B7631">
      <w:pPr>
        <w:rPr>
          <w:rFonts w:hint="cs"/>
          <w:color w:val="FF0000"/>
          <w:rtl/>
        </w:rPr>
      </w:pPr>
      <w:r w:rsidRPr="006B7631">
        <w:rPr>
          <w:b/>
          <w:bCs/>
          <w:rtl/>
        </w:rPr>
        <w:t>וכל היכולה למאן</w:t>
      </w:r>
      <w:r w:rsidRPr="006B7631">
        <w:rPr>
          <w:rtl/>
        </w:rPr>
        <w:t xml:space="preserve">. כגון </w:t>
      </w:r>
      <w:proofErr w:type="spellStart"/>
      <w:r w:rsidRPr="006B7631">
        <w:rPr>
          <w:rtl/>
        </w:rPr>
        <w:t>שהערוה</w:t>
      </w:r>
      <w:proofErr w:type="spellEnd"/>
      <w:r w:rsidRPr="006B7631">
        <w:rPr>
          <w:rtl/>
        </w:rPr>
        <w:t xml:space="preserve"> קטנה ויכולה למאן ולא מיאנה ומת אחיו הואיל וקידושיה אינה אלא מדרבנן וזיקת נפילתה מדרבנן אינה פוטרת צרתה מן החליצה </w:t>
      </w:r>
      <w:proofErr w:type="spellStart"/>
      <w:r w:rsidRPr="006B7631">
        <w:rPr>
          <w:rtl/>
        </w:rPr>
        <w:t>ולהתייבם</w:t>
      </w:r>
      <w:proofErr w:type="spellEnd"/>
      <w:r w:rsidRPr="006B7631">
        <w:rPr>
          <w:rtl/>
        </w:rPr>
        <w:t xml:space="preserve"> אסורה </w:t>
      </w:r>
      <w:proofErr w:type="spellStart"/>
      <w:r w:rsidRPr="006B7631">
        <w:rPr>
          <w:color w:val="FF0000"/>
          <w:rtl/>
        </w:rPr>
        <w:t>כדמפרש</w:t>
      </w:r>
      <w:proofErr w:type="spellEnd"/>
      <w:r w:rsidRPr="006B7631">
        <w:rPr>
          <w:color w:val="FF0000"/>
          <w:rtl/>
        </w:rPr>
        <w:t xml:space="preserve"> טעמא בגמרא שנראית צרת </w:t>
      </w:r>
      <w:proofErr w:type="spellStart"/>
      <w:r w:rsidRPr="006B7631">
        <w:rPr>
          <w:color w:val="FF0000"/>
          <w:rtl/>
        </w:rPr>
        <w:t>ערוה</w:t>
      </w:r>
      <w:proofErr w:type="spellEnd"/>
      <w:r w:rsidRPr="006B7631">
        <w:rPr>
          <w:color w:val="FF0000"/>
          <w:rtl/>
        </w:rPr>
        <w:t>:</w:t>
      </w:r>
    </w:p>
    <w:p w:rsidR="006B7631" w:rsidRDefault="006B7631" w:rsidP="006B7631">
      <w:pPr>
        <w:rPr>
          <w:rFonts w:hint="cs"/>
          <w:rtl/>
        </w:rPr>
      </w:pPr>
      <w:r>
        <w:rPr>
          <w:rFonts w:hint="cs"/>
          <w:rtl/>
        </w:rPr>
        <w:t xml:space="preserve">בשני </w:t>
      </w:r>
      <w:proofErr w:type="spellStart"/>
      <w:r>
        <w:rPr>
          <w:rFonts w:hint="cs"/>
          <w:rtl/>
        </w:rPr>
        <w:t>הד"ה</w:t>
      </w:r>
      <w:proofErr w:type="spellEnd"/>
      <w:r>
        <w:rPr>
          <w:rFonts w:hint="cs"/>
          <w:rtl/>
        </w:rPr>
        <w:t xml:space="preserve"> הראשונים רש"י לא כותב את הפסוקים אלא מפנה לגמרא ובאחרונים הרי שרש"י מפנה לגמרא וכותב הן את הטעם והן את הפסוק.</w:t>
      </w:r>
    </w:p>
    <w:p w:rsidR="006B7631" w:rsidRDefault="006B7631" w:rsidP="006B7631">
      <w:pPr>
        <w:rPr>
          <w:rFonts w:hint="cs"/>
          <w:rtl/>
        </w:rPr>
      </w:pPr>
      <w:r>
        <w:rPr>
          <w:rFonts w:hint="cs"/>
          <w:b/>
          <w:bCs/>
          <w:rtl/>
        </w:rPr>
        <w:t>2)</w:t>
      </w:r>
      <w:r w:rsidRPr="006B7631">
        <w:rPr>
          <w:b/>
          <w:bCs/>
          <w:rtl/>
        </w:rPr>
        <w:t>חמותו</w:t>
      </w:r>
      <w:r w:rsidRPr="006B7631">
        <w:rPr>
          <w:rtl/>
        </w:rPr>
        <w:t>. שמת בעלה ונשאה אחיו ומת בלא בנים:</w:t>
      </w:r>
    </w:p>
    <w:p w:rsidR="006B7631" w:rsidRPr="006B7631" w:rsidRDefault="006B7631" w:rsidP="006B7631">
      <w:pPr>
        <w:rPr>
          <w:rFonts w:hint="cs"/>
          <w:rtl/>
        </w:rPr>
      </w:pPr>
      <w:r>
        <w:rPr>
          <w:rFonts w:hint="cs"/>
          <w:rtl/>
        </w:rPr>
        <w:t>ישנה אפשרות נוספת למותו כגון שנשא בת אחיו וצ"ל מדוע רש"י בחר דווקא את הסיטואציה הזאת.</w:t>
      </w:r>
    </w:p>
    <w:p w:rsidR="006B7631" w:rsidRDefault="006B7631" w:rsidP="006B7631">
      <w:pPr>
        <w:rPr>
          <w:rFonts w:hint="cs"/>
          <w:rtl/>
        </w:rPr>
      </w:pPr>
    </w:p>
    <w:p w:rsidR="006B7631" w:rsidRDefault="006B7631" w:rsidP="006B7631">
      <w:pPr>
        <w:rPr>
          <w:rFonts w:hint="cs"/>
        </w:rPr>
      </w:pPr>
    </w:p>
    <w:sectPr w:rsidR="006B7631" w:rsidSect="00986FE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31"/>
    <w:rsid w:val="006B7631"/>
    <w:rsid w:val="00986FE9"/>
    <w:rsid w:val="00B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990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2014-10-07T11:59:00Z</dcterms:created>
  <dcterms:modified xsi:type="dcterms:W3CDTF">2014-10-07T12:09:00Z</dcterms:modified>
</cp:coreProperties>
</file>