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F" w:rsidRDefault="005049D2">
      <w:pPr>
        <w:rPr>
          <w:rtl/>
        </w:rPr>
      </w:pPr>
    </w:p>
    <w:p w:rsidR="00EF46ED" w:rsidRDefault="00BB477D" w:rsidP="00EF46ED">
      <w:pPr>
        <w:rPr>
          <w:b/>
          <w:bCs/>
          <w:sz w:val="32"/>
          <w:szCs w:val="32"/>
          <w:rtl/>
        </w:rPr>
      </w:pPr>
      <w:r>
        <w:rPr>
          <w:rFonts w:hint="cs"/>
          <w:rtl/>
        </w:rPr>
        <w:t xml:space="preserve">                        </w:t>
      </w:r>
      <w:r w:rsidRPr="00BB477D">
        <w:rPr>
          <w:rFonts w:hint="cs"/>
          <w:b/>
          <w:bCs/>
          <w:sz w:val="32"/>
          <w:szCs w:val="32"/>
          <w:rtl/>
        </w:rPr>
        <w:t xml:space="preserve">מר ינוקא ומר </w:t>
      </w:r>
      <w:proofErr w:type="spellStart"/>
      <w:r w:rsidRPr="00BB477D">
        <w:rPr>
          <w:rFonts w:hint="cs"/>
          <w:b/>
          <w:bCs/>
          <w:sz w:val="32"/>
          <w:szCs w:val="32"/>
          <w:rtl/>
        </w:rPr>
        <w:t>קשישא</w:t>
      </w:r>
      <w:proofErr w:type="spellEnd"/>
      <w:r w:rsidRPr="00BB477D">
        <w:rPr>
          <w:rFonts w:hint="cs"/>
          <w:b/>
          <w:bCs/>
          <w:sz w:val="32"/>
          <w:szCs w:val="32"/>
          <w:rtl/>
        </w:rPr>
        <w:t>- דף ז עמוד ב</w:t>
      </w:r>
    </w:p>
    <w:p w:rsidR="00EF46ED" w:rsidRDefault="00EF46ED" w:rsidP="00EF46ED">
      <w:pPr>
        <w:spacing w:line="240" w:lineRule="auto"/>
        <w:rPr>
          <w:sz w:val="24"/>
          <w:szCs w:val="24"/>
          <w:rtl/>
        </w:rPr>
      </w:pPr>
      <w:r>
        <w:rPr>
          <w:rFonts w:hint="cs"/>
          <w:sz w:val="24"/>
          <w:szCs w:val="24"/>
          <w:rtl/>
        </w:rPr>
        <w:t xml:space="preserve">שני בניו אלו של רב </w:t>
      </w:r>
      <w:proofErr w:type="spellStart"/>
      <w:r>
        <w:rPr>
          <w:rFonts w:hint="cs"/>
          <w:sz w:val="24"/>
          <w:szCs w:val="24"/>
          <w:rtl/>
        </w:rPr>
        <w:t>חסדא</w:t>
      </w:r>
      <w:proofErr w:type="spellEnd"/>
      <w:r>
        <w:rPr>
          <w:rFonts w:hint="cs"/>
          <w:sz w:val="24"/>
          <w:szCs w:val="24"/>
          <w:rtl/>
        </w:rPr>
        <w:t xml:space="preserve"> מופיעים בש"ס במספר מקומות. במסכת כתובות (פט, ב) כותב </w:t>
      </w:r>
      <w:r w:rsidRPr="00190308">
        <w:rPr>
          <w:rFonts w:hint="cs"/>
          <w:b/>
          <w:bCs/>
          <w:sz w:val="24"/>
          <w:szCs w:val="24"/>
          <w:rtl/>
        </w:rPr>
        <w:t>רש"י</w:t>
      </w:r>
      <w:r>
        <w:rPr>
          <w:rFonts w:hint="cs"/>
          <w:sz w:val="24"/>
          <w:szCs w:val="24"/>
          <w:rtl/>
        </w:rPr>
        <w:t xml:space="preserve"> שלרב </w:t>
      </w:r>
      <w:proofErr w:type="spellStart"/>
      <w:r>
        <w:rPr>
          <w:rFonts w:hint="cs"/>
          <w:sz w:val="24"/>
          <w:szCs w:val="24"/>
          <w:rtl/>
        </w:rPr>
        <w:t>חסדא</w:t>
      </w:r>
      <w:proofErr w:type="spellEnd"/>
      <w:r>
        <w:rPr>
          <w:rFonts w:hint="cs"/>
          <w:sz w:val="24"/>
          <w:szCs w:val="24"/>
          <w:rtl/>
        </w:rPr>
        <w:t xml:space="preserve"> היו שני בנים ששמם היה זהה "מר", וכדי להבדיל ביניהם , קראו למבוגר "מר </w:t>
      </w:r>
      <w:proofErr w:type="spellStart"/>
      <w:r>
        <w:rPr>
          <w:rFonts w:hint="cs"/>
          <w:sz w:val="24"/>
          <w:szCs w:val="24"/>
          <w:rtl/>
        </w:rPr>
        <w:t>קשישא</w:t>
      </w:r>
      <w:proofErr w:type="spellEnd"/>
      <w:r>
        <w:rPr>
          <w:rFonts w:hint="cs"/>
          <w:sz w:val="24"/>
          <w:szCs w:val="24"/>
          <w:rtl/>
        </w:rPr>
        <w:t>" וצעיר "מר ינוקא".</w:t>
      </w:r>
    </w:p>
    <w:p w:rsidR="00EF46ED" w:rsidRDefault="00EF46ED" w:rsidP="00EF46ED">
      <w:pPr>
        <w:spacing w:line="240" w:lineRule="auto"/>
        <w:rPr>
          <w:sz w:val="24"/>
          <w:szCs w:val="24"/>
          <w:rtl/>
        </w:rPr>
      </w:pPr>
      <w:r>
        <w:rPr>
          <w:rFonts w:hint="cs"/>
          <w:sz w:val="24"/>
          <w:szCs w:val="24"/>
          <w:rtl/>
        </w:rPr>
        <w:t xml:space="preserve">לעומת זאת </w:t>
      </w:r>
      <w:r w:rsidRPr="00190308">
        <w:rPr>
          <w:rFonts w:hint="cs"/>
          <w:b/>
          <w:bCs/>
          <w:sz w:val="24"/>
          <w:szCs w:val="24"/>
          <w:rtl/>
        </w:rPr>
        <w:t>התוספות</w:t>
      </w:r>
      <w:r>
        <w:rPr>
          <w:rFonts w:hint="cs"/>
          <w:sz w:val="24"/>
          <w:szCs w:val="24"/>
          <w:rtl/>
        </w:rPr>
        <w:t xml:space="preserve"> </w:t>
      </w:r>
      <w:proofErr w:type="spellStart"/>
      <w:r>
        <w:rPr>
          <w:rFonts w:hint="cs"/>
          <w:sz w:val="24"/>
          <w:szCs w:val="24"/>
          <w:rtl/>
        </w:rPr>
        <w:t>אצלינו</w:t>
      </w:r>
      <w:proofErr w:type="spellEnd"/>
      <w:r>
        <w:rPr>
          <w:rFonts w:hint="cs"/>
          <w:sz w:val="24"/>
          <w:szCs w:val="24"/>
          <w:rtl/>
        </w:rPr>
        <w:t xml:space="preserve"> כותב כי בן אחד נולד לרב </w:t>
      </w:r>
      <w:proofErr w:type="spellStart"/>
      <w:r>
        <w:rPr>
          <w:rFonts w:hint="cs"/>
          <w:sz w:val="24"/>
          <w:szCs w:val="24"/>
          <w:rtl/>
        </w:rPr>
        <w:t>חסדא</w:t>
      </w:r>
      <w:proofErr w:type="spellEnd"/>
      <w:r>
        <w:rPr>
          <w:rFonts w:hint="cs"/>
          <w:sz w:val="24"/>
          <w:szCs w:val="24"/>
          <w:rtl/>
        </w:rPr>
        <w:t xml:space="preserve"> בצעירותו ולכן קראו לו "מר ינוקא" </w:t>
      </w:r>
      <w:r w:rsidR="00437739">
        <w:rPr>
          <w:rStyle w:val="a5"/>
          <w:sz w:val="24"/>
          <w:szCs w:val="24"/>
          <w:rtl/>
        </w:rPr>
        <w:footnoteReference w:id="1"/>
      </w:r>
      <w:r>
        <w:rPr>
          <w:rFonts w:hint="cs"/>
          <w:sz w:val="24"/>
          <w:szCs w:val="24"/>
          <w:rtl/>
        </w:rPr>
        <w:t xml:space="preserve">והוא היה המבוגר יותר, ואילו הצעיר נולד לו בזקנותו ולכן קראו לו "מר </w:t>
      </w:r>
      <w:proofErr w:type="spellStart"/>
      <w:r>
        <w:rPr>
          <w:rFonts w:hint="cs"/>
          <w:sz w:val="24"/>
          <w:szCs w:val="24"/>
          <w:rtl/>
        </w:rPr>
        <w:t>קשישא</w:t>
      </w:r>
      <w:proofErr w:type="spellEnd"/>
      <w:r>
        <w:rPr>
          <w:rFonts w:hint="cs"/>
          <w:sz w:val="24"/>
          <w:szCs w:val="24"/>
          <w:rtl/>
        </w:rPr>
        <w:t>"</w:t>
      </w:r>
      <w:r>
        <w:rPr>
          <w:rStyle w:val="a5"/>
          <w:sz w:val="24"/>
          <w:szCs w:val="24"/>
          <w:rtl/>
        </w:rPr>
        <w:footnoteReference w:id="2"/>
      </w:r>
    </w:p>
    <w:p w:rsidR="00190308" w:rsidRDefault="00190308" w:rsidP="00EF46ED">
      <w:pPr>
        <w:spacing w:line="240" w:lineRule="auto"/>
        <w:rPr>
          <w:sz w:val="24"/>
          <w:szCs w:val="24"/>
          <w:rtl/>
        </w:rPr>
      </w:pPr>
      <w:proofErr w:type="spellStart"/>
      <w:r>
        <w:rPr>
          <w:rFonts w:hint="cs"/>
          <w:sz w:val="24"/>
          <w:szCs w:val="24"/>
          <w:rtl/>
        </w:rPr>
        <w:t>המהר"ם</w:t>
      </w:r>
      <w:proofErr w:type="spellEnd"/>
      <w:r>
        <w:rPr>
          <w:rFonts w:hint="cs"/>
          <w:sz w:val="24"/>
          <w:szCs w:val="24"/>
          <w:rtl/>
        </w:rPr>
        <w:t xml:space="preserve"> מלובלין מסביר כי אם כשיטת רש"י הייתה הגמרא צריכה להזכיר קודם את מר </w:t>
      </w:r>
      <w:proofErr w:type="spellStart"/>
      <w:r>
        <w:rPr>
          <w:rFonts w:hint="cs"/>
          <w:sz w:val="24"/>
          <w:szCs w:val="24"/>
          <w:rtl/>
        </w:rPr>
        <w:t>קשישא</w:t>
      </w:r>
      <w:proofErr w:type="spellEnd"/>
      <w:r>
        <w:rPr>
          <w:rFonts w:hint="cs"/>
          <w:sz w:val="24"/>
          <w:szCs w:val="24"/>
          <w:rtl/>
        </w:rPr>
        <w:t xml:space="preserve">, והגמרא מזכירה קודם את מר ינוקא. </w:t>
      </w:r>
    </w:p>
    <w:p w:rsidR="00190308" w:rsidRPr="00190308" w:rsidRDefault="00190308" w:rsidP="00EF46ED">
      <w:pPr>
        <w:spacing w:line="240" w:lineRule="auto"/>
        <w:rPr>
          <w:sz w:val="24"/>
          <w:szCs w:val="24"/>
          <w:rtl/>
        </w:rPr>
      </w:pPr>
      <w:r>
        <w:rPr>
          <w:rFonts w:hint="cs"/>
          <w:sz w:val="24"/>
          <w:szCs w:val="24"/>
          <w:rtl/>
        </w:rPr>
        <w:t xml:space="preserve">לעומת זאת </w:t>
      </w:r>
      <w:proofErr w:type="spellStart"/>
      <w:r>
        <w:rPr>
          <w:rFonts w:hint="cs"/>
          <w:b/>
          <w:bCs/>
          <w:sz w:val="24"/>
          <w:szCs w:val="24"/>
          <w:rtl/>
        </w:rPr>
        <w:t>היעב"ץ</w:t>
      </w:r>
      <w:proofErr w:type="spellEnd"/>
      <w:r>
        <w:rPr>
          <w:rFonts w:hint="cs"/>
          <w:sz w:val="24"/>
          <w:szCs w:val="24"/>
          <w:rtl/>
        </w:rPr>
        <w:t xml:space="preserve"> בהגהותיו למסכת , כותב כי יתכן שהצעיר היה תלמיד חכם יותר מהמבוגר ולכן הזכירו קודם. כדוגמא מביא </w:t>
      </w:r>
      <w:proofErr w:type="spellStart"/>
      <w:r>
        <w:rPr>
          <w:rFonts w:hint="cs"/>
          <w:sz w:val="24"/>
          <w:szCs w:val="24"/>
          <w:rtl/>
        </w:rPr>
        <w:t>היעב"ץ</w:t>
      </w:r>
      <w:proofErr w:type="spellEnd"/>
      <w:r>
        <w:rPr>
          <w:rFonts w:hint="cs"/>
          <w:sz w:val="24"/>
          <w:szCs w:val="24"/>
          <w:rtl/>
        </w:rPr>
        <w:t xml:space="preserve"> משה ואהרן שבדרך כלל מוזכר משה קודם </w:t>
      </w:r>
      <w:r>
        <w:rPr>
          <w:rStyle w:val="a5"/>
          <w:sz w:val="24"/>
          <w:szCs w:val="24"/>
          <w:rtl/>
        </w:rPr>
        <w:footnoteReference w:id="3"/>
      </w:r>
      <w:r>
        <w:rPr>
          <w:rFonts w:hint="cs"/>
          <w:sz w:val="24"/>
          <w:szCs w:val="24"/>
          <w:rtl/>
        </w:rPr>
        <w:t xml:space="preserve"> כי הוא היה בדרגה רוחנית גבוהה יותר למרות היותו הצעיר. </w:t>
      </w:r>
    </w:p>
    <w:p w:rsidR="00190308" w:rsidRDefault="003E67EC" w:rsidP="00EF46ED">
      <w:pPr>
        <w:spacing w:line="240" w:lineRule="auto"/>
        <w:rPr>
          <w:rFonts w:cs="Guttman Yad"/>
          <w:b/>
          <w:bCs/>
          <w:sz w:val="24"/>
          <w:szCs w:val="24"/>
          <w:rtl/>
        </w:rPr>
      </w:pPr>
      <w:r>
        <w:rPr>
          <w:rFonts w:cs="Guttman Yad" w:hint="cs"/>
          <w:b/>
          <w:bCs/>
          <w:sz w:val="24"/>
          <w:szCs w:val="24"/>
          <w:rtl/>
        </w:rPr>
        <w:t>האם אפשר לקרוא לשני ילדים של אותו אדם באותו שם?</w:t>
      </w:r>
    </w:p>
    <w:p w:rsidR="00EB2B65" w:rsidRDefault="00EB2B65" w:rsidP="00EF46ED">
      <w:pPr>
        <w:spacing w:line="240" w:lineRule="auto"/>
        <w:rPr>
          <w:rFonts w:asciiTheme="minorBidi" w:hAnsiTheme="minorBidi"/>
          <w:sz w:val="24"/>
          <w:szCs w:val="24"/>
          <w:rtl/>
        </w:rPr>
      </w:pPr>
      <w:r>
        <w:rPr>
          <w:rFonts w:asciiTheme="minorBidi" w:hAnsiTheme="minorBidi" w:hint="cs"/>
          <w:b/>
          <w:bCs/>
          <w:sz w:val="24"/>
          <w:szCs w:val="24"/>
          <w:rtl/>
        </w:rPr>
        <w:t xml:space="preserve">בפתחי תשובה </w:t>
      </w:r>
      <w:r>
        <w:rPr>
          <w:rFonts w:asciiTheme="minorBidi" w:hAnsiTheme="minorBidi" w:hint="cs"/>
          <w:sz w:val="24"/>
          <w:szCs w:val="24"/>
          <w:rtl/>
        </w:rPr>
        <w:t xml:space="preserve">(יו"ד , </w:t>
      </w:r>
      <w:proofErr w:type="spellStart"/>
      <w:r>
        <w:rPr>
          <w:rFonts w:asciiTheme="minorBidi" w:hAnsiTheme="minorBidi" w:hint="cs"/>
          <w:sz w:val="24"/>
          <w:szCs w:val="24"/>
          <w:rtl/>
        </w:rPr>
        <w:t>קטו</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סק"ו</w:t>
      </w:r>
      <w:proofErr w:type="spellEnd"/>
      <w:r>
        <w:rPr>
          <w:rFonts w:asciiTheme="minorBidi" w:hAnsiTheme="minorBidi" w:hint="cs"/>
          <w:sz w:val="24"/>
          <w:szCs w:val="24"/>
          <w:rtl/>
        </w:rPr>
        <w:t xml:space="preserve">) הביא כי בספר אדני פז כתב שאפשר לקרוא שני בנים באותו שם , אך בהשמטות לספר, כתב שלא לעשות כן מפני עין הרע. </w:t>
      </w:r>
    </w:p>
    <w:p w:rsidR="004727E6" w:rsidRPr="00EB2B65" w:rsidRDefault="004727E6" w:rsidP="00EF46ED">
      <w:pPr>
        <w:spacing w:line="240" w:lineRule="auto"/>
        <w:rPr>
          <w:rFonts w:asciiTheme="minorBidi" w:hAnsiTheme="minorBidi"/>
          <w:sz w:val="24"/>
          <w:szCs w:val="24"/>
          <w:rtl/>
        </w:rPr>
      </w:pPr>
      <w:r>
        <w:rPr>
          <w:rFonts w:asciiTheme="minorBidi" w:hAnsiTheme="minorBidi" w:hint="cs"/>
          <w:sz w:val="24"/>
          <w:szCs w:val="24"/>
          <w:rtl/>
        </w:rPr>
        <w:t xml:space="preserve">לעומתו </w:t>
      </w:r>
      <w:proofErr w:type="spellStart"/>
      <w:r w:rsidRPr="004727E6">
        <w:rPr>
          <w:rFonts w:asciiTheme="minorBidi" w:hAnsiTheme="minorBidi" w:hint="cs"/>
          <w:b/>
          <w:bCs/>
          <w:sz w:val="24"/>
          <w:szCs w:val="24"/>
          <w:rtl/>
        </w:rPr>
        <w:t>בשו"ת</w:t>
      </w:r>
      <w:proofErr w:type="spellEnd"/>
      <w:r w:rsidRPr="004727E6">
        <w:rPr>
          <w:rFonts w:asciiTheme="minorBidi" w:hAnsiTheme="minorBidi" w:hint="cs"/>
          <w:b/>
          <w:bCs/>
          <w:sz w:val="24"/>
          <w:szCs w:val="24"/>
          <w:rtl/>
        </w:rPr>
        <w:t xml:space="preserve"> </w:t>
      </w:r>
      <w:proofErr w:type="spellStart"/>
      <w:r w:rsidRPr="004727E6">
        <w:rPr>
          <w:rFonts w:asciiTheme="minorBidi" w:hAnsiTheme="minorBidi" w:hint="cs"/>
          <w:b/>
          <w:bCs/>
          <w:sz w:val="24"/>
          <w:szCs w:val="24"/>
          <w:rtl/>
        </w:rPr>
        <w:t>הרמ"ץ</w:t>
      </w:r>
      <w:proofErr w:type="spellEnd"/>
      <w:r>
        <w:rPr>
          <w:rFonts w:asciiTheme="minorBidi" w:hAnsiTheme="minorBidi" w:hint="cs"/>
          <w:sz w:val="24"/>
          <w:szCs w:val="24"/>
          <w:rtl/>
        </w:rPr>
        <w:t xml:space="preserve"> </w:t>
      </w:r>
      <w:r>
        <w:rPr>
          <w:rStyle w:val="a5"/>
          <w:rFonts w:asciiTheme="minorBidi" w:hAnsiTheme="minorBidi"/>
          <w:sz w:val="24"/>
          <w:szCs w:val="24"/>
          <w:rtl/>
        </w:rPr>
        <w:footnoteReference w:id="4"/>
      </w:r>
      <w:r>
        <w:rPr>
          <w:rFonts w:asciiTheme="minorBidi" w:hAnsiTheme="minorBidi" w:hint="cs"/>
          <w:sz w:val="24"/>
          <w:szCs w:val="24"/>
          <w:rtl/>
        </w:rPr>
        <w:t xml:space="preserve"> פסק שכמו בכל ענייני עין הרע "מאן </w:t>
      </w:r>
      <w:proofErr w:type="spellStart"/>
      <w:r>
        <w:rPr>
          <w:rFonts w:asciiTheme="minorBidi" w:hAnsiTheme="minorBidi" w:hint="cs"/>
          <w:sz w:val="24"/>
          <w:szCs w:val="24"/>
          <w:rtl/>
        </w:rPr>
        <w:t>דקפיד</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קפדינן</w:t>
      </w:r>
      <w:proofErr w:type="spellEnd"/>
      <w:r>
        <w:rPr>
          <w:rFonts w:asciiTheme="minorBidi" w:hAnsiTheme="minorBidi" w:hint="cs"/>
          <w:sz w:val="24"/>
          <w:szCs w:val="24"/>
          <w:rtl/>
        </w:rPr>
        <w:t xml:space="preserve"> בהדיה" ואם אותו אדם אינו חושש לכך, אין שום איסור לקרוא שני ילדיו באותו שם. </w:t>
      </w:r>
    </w:p>
    <w:p w:rsidR="003E67EC" w:rsidRDefault="003E67EC" w:rsidP="003D1771">
      <w:pPr>
        <w:spacing w:line="240" w:lineRule="auto"/>
        <w:rPr>
          <w:rFonts w:asciiTheme="minorBidi" w:hAnsiTheme="minorBidi"/>
          <w:sz w:val="24"/>
          <w:szCs w:val="24"/>
          <w:rtl/>
        </w:rPr>
      </w:pPr>
      <w:proofErr w:type="spellStart"/>
      <w:r w:rsidRPr="00EB2B65">
        <w:rPr>
          <w:rFonts w:asciiTheme="minorBidi" w:hAnsiTheme="minorBidi" w:hint="cs"/>
          <w:b/>
          <w:bCs/>
          <w:sz w:val="24"/>
          <w:szCs w:val="24"/>
          <w:rtl/>
        </w:rPr>
        <w:t>בשו"ת</w:t>
      </w:r>
      <w:proofErr w:type="spellEnd"/>
      <w:r w:rsidR="003D1771" w:rsidRPr="00EB2B65">
        <w:rPr>
          <w:rStyle w:val="a5"/>
          <w:rFonts w:asciiTheme="minorBidi" w:hAnsiTheme="minorBidi"/>
          <w:b/>
          <w:bCs/>
          <w:sz w:val="24"/>
          <w:szCs w:val="24"/>
          <w:rtl/>
        </w:rPr>
        <w:footnoteReference w:id="5"/>
      </w:r>
      <w:r w:rsidRPr="00EB2B65">
        <w:rPr>
          <w:rFonts w:asciiTheme="minorBidi" w:hAnsiTheme="minorBidi" w:hint="cs"/>
          <w:b/>
          <w:bCs/>
          <w:sz w:val="24"/>
          <w:szCs w:val="24"/>
          <w:rtl/>
        </w:rPr>
        <w:t xml:space="preserve"> דברי מלכיאל</w:t>
      </w:r>
      <w:r>
        <w:rPr>
          <w:rFonts w:asciiTheme="minorBidi" w:hAnsiTheme="minorBidi" w:hint="cs"/>
          <w:sz w:val="24"/>
          <w:szCs w:val="24"/>
          <w:rtl/>
        </w:rPr>
        <w:t xml:space="preserve"> </w:t>
      </w:r>
      <w:r>
        <w:rPr>
          <w:rStyle w:val="a5"/>
          <w:rFonts w:asciiTheme="minorBidi" w:hAnsiTheme="minorBidi"/>
          <w:sz w:val="24"/>
          <w:szCs w:val="24"/>
          <w:rtl/>
        </w:rPr>
        <w:footnoteReference w:id="6"/>
      </w:r>
      <w:r>
        <w:rPr>
          <w:rFonts w:asciiTheme="minorBidi" w:hAnsiTheme="minorBidi" w:hint="cs"/>
          <w:sz w:val="24"/>
          <w:szCs w:val="24"/>
          <w:rtl/>
        </w:rPr>
        <w:t xml:space="preserve"> נשאל שאלה מעניינת:</w:t>
      </w:r>
      <w:r w:rsidR="003D1771">
        <w:rPr>
          <w:rFonts w:asciiTheme="minorBidi" w:hAnsiTheme="minorBidi" w:hint="cs"/>
          <w:sz w:val="24"/>
          <w:szCs w:val="24"/>
          <w:rtl/>
        </w:rPr>
        <w:t xml:space="preserve"> </w:t>
      </w:r>
      <w:r w:rsidR="003D1771">
        <w:rPr>
          <w:rFonts w:ascii="Arial" w:hAnsi="Arial" w:cs="Arial" w:hint="cs"/>
          <w:color w:val="000000"/>
          <w:sz w:val="24"/>
          <w:szCs w:val="24"/>
          <w:shd w:val="clear" w:color="auto" w:fill="FFFFFF"/>
          <w:rtl/>
        </w:rPr>
        <w:t>האם אדם שיש לו בת בשם שמחה , יכול לקרוא לבנו גם כן שמחה?</w:t>
      </w:r>
    </w:p>
    <w:p w:rsidR="003D1771" w:rsidRDefault="003D1771" w:rsidP="003D1771">
      <w:pPr>
        <w:spacing w:line="240" w:lineRule="auto"/>
        <w:rPr>
          <w:rFonts w:asciiTheme="minorBidi" w:hAnsiTheme="minorBidi"/>
          <w:sz w:val="24"/>
          <w:szCs w:val="24"/>
          <w:rtl/>
        </w:rPr>
      </w:pPr>
      <w:r>
        <w:rPr>
          <w:rFonts w:asciiTheme="minorBidi" w:hAnsiTheme="minorBidi" w:hint="cs"/>
          <w:sz w:val="24"/>
          <w:szCs w:val="24"/>
          <w:rtl/>
        </w:rPr>
        <w:t xml:space="preserve">בתשובתו הוא חילק בין תקופות הקדמונים לימינו . בתקופת הקדמונים קראו לילדים על שם מאורעות והכל היה ברוח הקודש ולכן לא נמנעו לקרוא שני ילדים באותו שם, אך בימינו קוראים פעמים רבות על שם הסבים ולכן לא קוראים על שם הסבא אלא ילד אחד בלבד. והוא מוסיף שרב </w:t>
      </w:r>
      <w:proofErr w:type="spellStart"/>
      <w:r>
        <w:rPr>
          <w:rFonts w:asciiTheme="minorBidi" w:hAnsiTheme="minorBidi" w:hint="cs"/>
          <w:sz w:val="24"/>
          <w:szCs w:val="24"/>
          <w:rtl/>
        </w:rPr>
        <w:t>חסדא</w:t>
      </w:r>
      <w:proofErr w:type="spellEnd"/>
      <w:r>
        <w:rPr>
          <w:rFonts w:asciiTheme="minorBidi" w:hAnsiTheme="minorBidi" w:hint="cs"/>
          <w:sz w:val="24"/>
          <w:szCs w:val="24"/>
          <w:rtl/>
        </w:rPr>
        <w:t xml:space="preserve"> היה אדם בעל רוח הקודש ולכן קרא לשני בניו על שם מאורע (שאיננו יודעים מהו) באותו שם. </w:t>
      </w:r>
    </w:p>
    <w:p w:rsidR="003D1771" w:rsidRDefault="003D1771" w:rsidP="003D1771">
      <w:pPr>
        <w:spacing w:line="240" w:lineRule="auto"/>
        <w:rPr>
          <w:rFonts w:asciiTheme="minorBidi" w:hAnsiTheme="minorBidi"/>
          <w:sz w:val="24"/>
          <w:szCs w:val="24"/>
          <w:rtl/>
        </w:rPr>
      </w:pPr>
      <w:r>
        <w:rPr>
          <w:rFonts w:asciiTheme="minorBidi" w:hAnsiTheme="minorBidi" w:hint="cs"/>
          <w:sz w:val="24"/>
          <w:szCs w:val="24"/>
          <w:rtl/>
        </w:rPr>
        <w:t xml:space="preserve">בהמשך דבריו , הוסיף שיש גם חשש עריות כאשר יגורו שני האחים עם משפחותיהם באותו מקום ויכול להיות שיהיו בלבולים בענייני בינו לבינה באשר שמם זהה. ואם נקשה הרי רב </w:t>
      </w:r>
      <w:proofErr w:type="spellStart"/>
      <w:r>
        <w:rPr>
          <w:rFonts w:asciiTheme="minorBidi" w:hAnsiTheme="minorBidi" w:hint="cs"/>
          <w:sz w:val="24"/>
          <w:szCs w:val="24"/>
          <w:rtl/>
        </w:rPr>
        <w:t>חסדא</w:t>
      </w:r>
      <w:proofErr w:type="spellEnd"/>
      <w:r>
        <w:rPr>
          <w:rFonts w:asciiTheme="minorBidi" w:hAnsiTheme="minorBidi" w:hint="cs"/>
          <w:sz w:val="24"/>
          <w:szCs w:val="24"/>
          <w:rtl/>
        </w:rPr>
        <w:t xml:space="preserve"> קרא לשני בניו באותו שם? השיב כי בימים עברו שקראו על שם מאורע , כאשר גדל הילד היה יכול לשנות את שמו לשם אחר, אבל היום שקוראים על שם אבות והסבים , אין זה דרך ארץ לשנות את השם ולכן אין לקרוא בימינו לשני בנים באותו שם. </w:t>
      </w:r>
    </w:p>
    <w:p w:rsidR="003D1771" w:rsidRDefault="003D1771" w:rsidP="003D1771">
      <w:pPr>
        <w:spacing w:line="240" w:lineRule="auto"/>
        <w:rPr>
          <w:rFonts w:asciiTheme="minorBidi" w:hAnsiTheme="minorBidi"/>
          <w:sz w:val="24"/>
          <w:szCs w:val="24"/>
          <w:rtl/>
        </w:rPr>
      </w:pPr>
      <w:r>
        <w:rPr>
          <w:rFonts w:asciiTheme="minorBidi" w:hAnsiTheme="minorBidi" w:hint="cs"/>
          <w:sz w:val="24"/>
          <w:szCs w:val="24"/>
          <w:rtl/>
        </w:rPr>
        <w:t>את הפסק הוא מסיים במילים הבאות:</w:t>
      </w:r>
    </w:p>
    <w:p w:rsidR="003D1771" w:rsidRDefault="003D1771" w:rsidP="003D1771">
      <w:pPr>
        <w:spacing w:line="240" w:lineRule="auto"/>
        <w:rPr>
          <w:rFonts w:asciiTheme="minorBidi" w:hAnsiTheme="minorBidi"/>
          <w:sz w:val="24"/>
          <w:szCs w:val="24"/>
          <w:rtl/>
        </w:rPr>
      </w:pPr>
      <w:r>
        <w:rPr>
          <w:rFonts w:asciiTheme="minorBidi" w:hAnsiTheme="minorBidi" w:cs="Arial" w:hint="cs"/>
          <w:sz w:val="24"/>
          <w:szCs w:val="24"/>
          <w:rtl/>
        </w:rPr>
        <w:t>"</w:t>
      </w:r>
      <w:proofErr w:type="spellStart"/>
      <w:r w:rsidRPr="003D1771">
        <w:rPr>
          <w:rFonts w:asciiTheme="minorBidi" w:hAnsiTheme="minorBidi" w:cs="Arial"/>
          <w:sz w:val="24"/>
          <w:szCs w:val="24"/>
          <w:rtl/>
        </w:rPr>
        <w:t>ובלא"ה</w:t>
      </w:r>
      <w:proofErr w:type="spellEnd"/>
      <w:r w:rsidRPr="003D1771">
        <w:rPr>
          <w:rFonts w:asciiTheme="minorBidi" w:hAnsiTheme="minorBidi" w:cs="Arial"/>
          <w:sz w:val="24"/>
          <w:szCs w:val="24"/>
          <w:rtl/>
        </w:rPr>
        <w:t xml:space="preserve"> אני תמה במה שנהגו לקרוא לנקיבות בשמות שנקראים בהם זכרים. ואין ראוי לעשות כן ויש בזה כמה חששות. וזכר לדבר יש מאיסור </w:t>
      </w:r>
      <w:proofErr w:type="spellStart"/>
      <w:r w:rsidRPr="003D1771">
        <w:rPr>
          <w:rFonts w:asciiTheme="minorBidi" w:hAnsiTheme="minorBidi" w:cs="Arial"/>
          <w:sz w:val="24"/>
          <w:szCs w:val="24"/>
          <w:rtl/>
        </w:rPr>
        <w:t>דאשה</w:t>
      </w:r>
      <w:proofErr w:type="spellEnd"/>
      <w:r w:rsidRPr="003D1771">
        <w:rPr>
          <w:rFonts w:asciiTheme="minorBidi" w:hAnsiTheme="minorBidi" w:cs="Arial"/>
          <w:sz w:val="24"/>
          <w:szCs w:val="24"/>
          <w:rtl/>
        </w:rPr>
        <w:t xml:space="preserve"> לא תלבש שמלת גבר</w:t>
      </w:r>
      <w:r>
        <w:rPr>
          <w:rFonts w:asciiTheme="minorBidi" w:hAnsiTheme="minorBidi" w:hint="cs"/>
          <w:sz w:val="24"/>
          <w:szCs w:val="24"/>
          <w:rtl/>
        </w:rPr>
        <w:t>"</w:t>
      </w:r>
    </w:p>
    <w:p w:rsidR="003D1771" w:rsidRDefault="00EB2B65" w:rsidP="003D1771">
      <w:pPr>
        <w:spacing w:line="240" w:lineRule="auto"/>
        <w:rPr>
          <w:rFonts w:asciiTheme="minorBidi" w:hAnsiTheme="minorBidi"/>
          <w:sz w:val="24"/>
          <w:szCs w:val="24"/>
          <w:rtl/>
        </w:rPr>
      </w:pPr>
      <w:r>
        <w:rPr>
          <w:rFonts w:asciiTheme="minorBidi" w:hAnsiTheme="minorBidi" w:hint="cs"/>
          <w:sz w:val="24"/>
          <w:szCs w:val="24"/>
          <w:rtl/>
        </w:rPr>
        <w:t xml:space="preserve">גם </w:t>
      </w:r>
      <w:proofErr w:type="spellStart"/>
      <w:r>
        <w:rPr>
          <w:rFonts w:asciiTheme="minorBidi" w:hAnsiTheme="minorBidi" w:hint="cs"/>
          <w:sz w:val="24"/>
          <w:szCs w:val="24"/>
          <w:rtl/>
        </w:rPr>
        <w:t>בשו"ת</w:t>
      </w:r>
      <w:proofErr w:type="spellEnd"/>
      <w:r>
        <w:rPr>
          <w:rFonts w:asciiTheme="minorBidi" w:hAnsiTheme="minorBidi" w:hint="cs"/>
          <w:sz w:val="24"/>
          <w:szCs w:val="24"/>
          <w:rtl/>
        </w:rPr>
        <w:t xml:space="preserve"> </w:t>
      </w:r>
      <w:r>
        <w:rPr>
          <w:rFonts w:asciiTheme="minorBidi" w:hAnsiTheme="minorBidi" w:hint="cs"/>
          <w:b/>
          <w:bCs/>
          <w:sz w:val="24"/>
          <w:szCs w:val="24"/>
          <w:rtl/>
        </w:rPr>
        <w:t xml:space="preserve">ציץ אליעזר </w:t>
      </w:r>
      <w:r>
        <w:rPr>
          <w:rFonts w:asciiTheme="minorBidi" w:hAnsiTheme="minorBidi" w:hint="cs"/>
          <w:sz w:val="24"/>
          <w:szCs w:val="24"/>
          <w:rtl/>
        </w:rPr>
        <w:t>(חלק יא, סימן נו) נשאל שאלה דומה :</w:t>
      </w:r>
    </w:p>
    <w:p w:rsidR="00EB2B65" w:rsidRDefault="00EB2B65" w:rsidP="00EB2B65">
      <w:pPr>
        <w:spacing w:line="240" w:lineRule="auto"/>
        <w:rPr>
          <w:rFonts w:asciiTheme="minorBidi" w:hAnsiTheme="minorBidi" w:cs="Arial"/>
          <w:sz w:val="24"/>
          <w:szCs w:val="24"/>
          <w:rtl/>
        </w:rPr>
      </w:pPr>
      <w:r>
        <w:rPr>
          <w:rFonts w:asciiTheme="minorBidi" w:hAnsiTheme="minorBidi" w:cs="Arial" w:hint="cs"/>
          <w:sz w:val="24"/>
          <w:szCs w:val="24"/>
          <w:rtl/>
        </w:rPr>
        <w:lastRenderedPageBreak/>
        <w:t>"</w:t>
      </w:r>
      <w:r w:rsidRPr="00EB2B65">
        <w:rPr>
          <w:rFonts w:asciiTheme="minorBidi" w:hAnsiTheme="minorBidi" w:cs="Arial"/>
          <w:sz w:val="24"/>
          <w:szCs w:val="24"/>
          <w:rtl/>
        </w:rPr>
        <w:t xml:space="preserve">נשאלתי באחד שכשנולדה לו בת, וחשש לפן לא יוליד עוד זכר, נתן לה שם </w:t>
      </w:r>
      <w:proofErr w:type="spellStart"/>
      <w:r w:rsidRPr="00EB2B65">
        <w:rPr>
          <w:rFonts w:asciiTheme="minorBidi" w:hAnsiTheme="minorBidi" w:cs="Arial"/>
          <w:sz w:val="24"/>
          <w:szCs w:val="24"/>
          <w:rtl/>
        </w:rPr>
        <w:t>אליעזרא</w:t>
      </w:r>
      <w:proofErr w:type="spellEnd"/>
      <w:r w:rsidRPr="00EB2B65">
        <w:rPr>
          <w:rFonts w:asciiTheme="minorBidi" w:hAnsiTheme="minorBidi" w:cs="Arial"/>
          <w:sz w:val="24"/>
          <w:szCs w:val="24"/>
          <w:rtl/>
        </w:rPr>
        <w:t xml:space="preserve"> אחר אביו שהיה שמו אליעזר, ולאחר מיכן נולד לו בן זכר ורצונו כעת לקרוא לו בשלימות אחר שם אביו אליעזר, אם אפשרי הדבר, או לא. וכיוצא בזה נשאלתי כמה פעמים בכ</w:t>
      </w:r>
      <w:r>
        <w:rPr>
          <w:rFonts w:asciiTheme="minorBidi" w:hAnsiTheme="minorBidi" w:cs="Arial"/>
          <w:sz w:val="24"/>
          <w:szCs w:val="24"/>
          <w:rtl/>
        </w:rPr>
        <w:t>ל כדומה לזה</w:t>
      </w:r>
      <w:r>
        <w:rPr>
          <w:rFonts w:asciiTheme="minorBidi" w:hAnsiTheme="minorBidi" w:cs="Arial" w:hint="cs"/>
          <w:sz w:val="24"/>
          <w:szCs w:val="24"/>
          <w:rtl/>
        </w:rPr>
        <w:t>"</w:t>
      </w:r>
    </w:p>
    <w:p w:rsidR="00EB2B65" w:rsidRDefault="00EB2B65" w:rsidP="00EB2B65">
      <w:pPr>
        <w:spacing w:line="240" w:lineRule="auto"/>
        <w:rPr>
          <w:rFonts w:asciiTheme="minorBidi" w:hAnsiTheme="minorBidi"/>
          <w:sz w:val="24"/>
          <w:szCs w:val="24"/>
          <w:rtl/>
        </w:rPr>
      </w:pPr>
    </w:p>
    <w:p w:rsidR="00EB2B65" w:rsidRPr="00966186" w:rsidRDefault="00966186" w:rsidP="00EB2B65">
      <w:pPr>
        <w:spacing w:line="240" w:lineRule="auto"/>
        <w:rPr>
          <w:rFonts w:asciiTheme="minorBidi" w:hAnsiTheme="minorBidi" w:hint="cs"/>
          <w:sz w:val="24"/>
          <w:szCs w:val="24"/>
          <w:rtl/>
        </w:rPr>
      </w:pPr>
      <w:r>
        <w:rPr>
          <w:rFonts w:asciiTheme="minorBidi" w:hAnsiTheme="minorBidi" w:hint="cs"/>
          <w:sz w:val="24"/>
          <w:szCs w:val="24"/>
          <w:rtl/>
        </w:rPr>
        <w:t xml:space="preserve">הוא מחדש חידוש גדול וכותב כי כדי שהשמות לא יהיו זהים (על פי דברי </w:t>
      </w:r>
      <w:proofErr w:type="spellStart"/>
      <w:r>
        <w:rPr>
          <w:rFonts w:asciiTheme="minorBidi" w:hAnsiTheme="minorBidi" w:hint="cs"/>
          <w:sz w:val="24"/>
          <w:szCs w:val="24"/>
          <w:rtl/>
        </w:rPr>
        <w:t>הפת"ש</w:t>
      </w:r>
      <w:proofErr w:type="spellEnd"/>
      <w:r>
        <w:rPr>
          <w:rFonts w:asciiTheme="minorBidi" w:hAnsiTheme="minorBidi" w:hint="cs"/>
          <w:sz w:val="24"/>
          <w:szCs w:val="24"/>
          <w:rtl/>
        </w:rPr>
        <w:t xml:space="preserve"> שהובאו לעיל) , </w:t>
      </w:r>
      <w:r>
        <w:rPr>
          <w:rFonts w:asciiTheme="minorBidi" w:hAnsiTheme="minorBidi" w:hint="cs"/>
          <w:b/>
          <w:bCs/>
          <w:sz w:val="24"/>
          <w:szCs w:val="24"/>
          <w:rtl/>
        </w:rPr>
        <w:t xml:space="preserve">רב </w:t>
      </w:r>
      <w:proofErr w:type="spellStart"/>
      <w:r>
        <w:rPr>
          <w:rFonts w:asciiTheme="minorBidi" w:hAnsiTheme="minorBidi" w:hint="cs"/>
          <w:b/>
          <w:bCs/>
          <w:sz w:val="24"/>
          <w:szCs w:val="24"/>
          <w:rtl/>
        </w:rPr>
        <w:t>חסדא</w:t>
      </w:r>
      <w:proofErr w:type="spellEnd"/>
      <w:r>
        <w:rPr>
          <w:rFonts w:asciiTheme="minorBidi" w:hAnsiTheme="minorBidi" w:hint="cs"/>
          <w:b/>
          <w:bCs/>
          <w:sz w:val="24"/>
          <w:szCs w:val="24"/>
          <w:rtl/>
        </w:rPr>
        <w:t xml:space="preserve"> עצמו </w:t>
      </w:r>
      <w:r>
        <w:rPr>
          <w:rFonts w:asciiTheme="minorBidi" w:hAnsiTheme="minorBidi" w:hint="cs"/>
          <w:sz w:val="24"/>
          <w:szCs w:val="24"/>
          <w:rtl/>
        </w:rPr>
        <w:t xml:space="preserve">קרא לאחד "מר ינוקא" ולשני "מר </w:t>
      </w:r>
      <w:proofErr w:type="spellStart"/>
      <w:r>
        <w:rPr>
          <w:rFonts w:asciiTheme="minorBidi" w:hAnsiTheme="minorBidi" w:hint="cs"/>
          <w:sz w:val="24"/>
          <w:szCs w:val="24"/>
          <w:rtl/>
        </w:rPr>
        <w:t>קשישא</w:t>
      </w:r>
      <w:proofErr w:type="spellEnd"/>
      <w:r>
        <w:rPr>
          <w:rFonts w:asciiTheme="minorBidi" w:hAnsiTheme="minorBidi" w:hint="cs"/>
          <w:sz w:val="24"/>
          <w:szCs w:val="24"/>
          <w:rtl/>
        </w:rPr>
        <w:t xml:space="preserve">". </w:t>
      </w:r>
    </w:p>
    <w:p w:rsidR="003D1771" w:rsidRDefault="00966186" w:rsidP="003D1771">
      <w:pPr>
        <w:spacing w:line="240" w:lineRule="auto"/>
        <w:rPr>
          <w:rFonts w:asciiTheme="minorBidi" w:hAnsiTheme="minorBidi"/>
          <w:sz w:val="24"/>
          <w:szCs w:val="24"/>
          <w:rtl/>
        </w:rPr>
      </w:pPr>
      <w:r>
        <w:rPr>
          <w:rFonts w:asciiTheme="minorBidi" w:hAnsiTheme="minorBidi" w:hint="cs"/>
          <w:sz w:val="24"/>
          <w:szCs w:val="24"/>
          <w:rtl/>
        </w:rPr>
        <w:t xml:space="preserve">ומסכם הציץ אליעזר את תשובתו , כי על פי שורת הדין אין בעיה מאחר שהשמות כלל לא זהים (לבת הוא קרא </w:t>
      </w:r>
      <w:proofErr w:type="spellStart"/>
      <w:r>
        <w:rPr>
          <w:rFonts w:asciiTheme="minorBidi" w:hAnsiTheme="minorBidi" w:hint="cs"/>
          <w:sz w:val="24"/>
          <w:szCs w:val="24"/>
          <w:rtl/>
        </w:rPr>
        <w:t>אליעזרא</w:t>
      </w:r>
      <w:proofErr w:type="spellEnd"/>
      <w:r>
        <w:rPr>
          <w:rFonts w:asciiTheme="minorBidi" w:hAnsiTheme="minorBidi" w:hint="cs"/>
          <w:sz w:val="24"/>
          <w:szCs w:val="24"/>
          <w:rtl/>
        </w:rPr>
        <w:t xml:space="preserve"> ולבן הוא רוצה לקרוא אליעזר) , אבל כדאי לחוש לחששו של </w:t>
      </w:r>
      <w:proofErr w:type="spellStart"/>
      <w:r>
        <w:rPr>
          <w:rFonts w:asciiTheme="minorBidi" w:hAnsiTheme="minorBidi" w:hint="cs"/>
          <w:sz w:val="24"/>
          <w:szCs w:val="24"/>
          <w:rtl/>
        </w:rPr>
        <w:t>הדברי</w:t>
      </w:r>
      <w:proofErr w:type="spellEnd"/>
      <w:r>
        <w:rPr>
          <w:rFonts w:asciiTheme="minorBidi" w:hAnsiTheme="minorBidi" w:hint="cs"/>
          <w:sz w:val="24"/>
          <w:szCs w:val="24"/>
          <w:rtl/>
        </w:rPr>
        <w:t xml:space="preserve"> מלכיאל שאין לקרוא לשני ילדים על שם סבא אחד ולכן הוא מייעץ </w:t>
      </w:r>
      <w:proofErr w:type="spellStart"/>
      <w:r>
        <w:rPr>
          <w:rFonts w:asciiTheme="minorBidi" w:hAnsiTheme="minorBidi" w:hint="cs"/>
          <w:sz w:val="24"/>
          <w:szCs w:val="24"/>
          <w:rtl/>
        </w:rPr>
        <w:t>להמנע</w:t>
      </w:r>
      <w:proofErr w:type="spellEnd"/>
      <w:r>
        <w:rPr>
          <w:rFonts w:asciiTheme="minorBidi" w:hAnsiTheme="minorBidi" w:hint="cs"/>
          <w:sz w:val="24"/>
          <w:szCs w:val="24"/>
          <w:rtl/>
        </w:rPr>
        <w:t xml:space="preserve">. </w:t>
      </w:r>
    </w:p>
    <w:p w:rsidR="00BC52B8" w:rsidRDefault="00BC52B8" w:rsidP="003D1771">
      <w:pPr>
        <w:spacing w:line="240" w:lineRule="auto"/>
        <w:rPr>
          <w:rFonts w:asciiTheme="minorBidi" w:hAnsiTheme="minorBidi"/>
          <w:sz w:val="24"/>
          <w:szCs w:val="24"/>
          <w:rtl/>
        </w:rPr>
      </w:pPr>
      <w:r>
        <w:rPr>
          <w:rFonts w:asciiTheme="minorBidi" w:hAnsiTheme="minorBidi" w:hint="cs"/>
          <w:sz w:val="24"/>
          <w:szCs w:val="24"/>
          <w:rtl/>
        </w:rPr>
        <w:t xml:space="preserve">מרן </w:t>
      </w:r>
      <w:r w:rsidRPr="00BC52B8">
        <w:rPr>
          <w:rFonts w:asciiTheme="minorBidi" w:hAnsiTheme="minorBidi" w:hint="cs"/>
          <w:b/>
          <w:bCs/>
          <w:sz w:val="24"/>
          <w:szCs w:val="24"/>
          <w:rtl/>
        </w:rPr>
        <w:t>הרב עובדיה יוסף</w:t>
      </w:r>
      <w:r>
        <w:rPr>
          <w:rFonts w:asciiTheme="minorBidi" w:hAnsiTheme="minorBidi" w:hint="cs"/>
          <w:sz w:val="24"/>
          <w:szCs w:val="24"/>
          <w:rtl/>
        </w:rPr>
        <w:t xml:space="preserve"> (מעיין אומר, </w:t>
      </w:r>
      <w:proofErr w:type="spellStart"/>
      <w:r>
        <w:rPr>
          <w:rFonts w:asciiTheme="minorBidi" w:hAnsiTheme="minorBidi" w:hint="cs"/>
          <w:sz w:val="24"/>
          <w:szCs w:val="24"/>
          <w:rtl/>
        </w:rPr>
        <w:t>ח"יב</w:t>
      </w:r>
      <w:proofErr w:type="spellEnd"/>
      <w:r>
        <w:rPr>
          <w:rFonts w:asciiTheme="minorBidi" w:hAnsiTheme="minorBidi" w:hint="cs"/>
          <w:sz w:val="24"/>
          <w:szCs w:val="24"/>
          <w:rtl/>
        </w:rPr>
        <w:t xml:space="preserve">) פוסק עדיף לא להיות מוזר ולקרוא שני ילדים באותו שם. הוא מסתמך על דברי </w:t>
      </w:r>
      <w:r w:rsidRPr="00BC52B8">
        <w:rPr>
          <w:rFonts w:asciiTheme="minorBidi" w:hAnsiTheme="minorBidi" w:hint="cs"/>
          <w:b/>
          <w:bCs/>
          <w:sz w:val="24"/>
          <w:szCs w:val="24"/>
          <w:rtl/>
        </w:rPr>
        <w:t>החתם סופר</w:t>
      </w:r>
      <w:r>
        <w:rPr>
          <w:rFonts w:asciiTheme="minorBidi" w:hAnsiTheme="minorBidi" w:hint="cs"/>
          <w:sz w:val="24"/>
          <w:szCs w:val="24"/>
          <w:rtl/>
        </w:rPr>
        <w:t xml:space="preserve"> (אבן העזר, ג, סימן צ):</w:t>
      </w:r>
    </w:p>
    <w:p w:rsidR="00BC52B8" w:rsidRDefault="00BC52B8" w:rsidP="00BC52B8">
      <w:pPr>
        <w:spacing w:line="240" w:lineRule="auto"/>
        <w:rPr>
          <w:rFonts w:asciiTheme="minorBidi" w:hAnsiTheme="minorBidi"/>
          <w:sz w:val="24"/>
          <w:szCs w:val="24"/>
          <w:rtl/>
        </w:rPr>
      </w:pPr>
      <w:r w:rsidRPr="00BC52B8">
        <w:rPr>
          <w:rFonts w:asciiTheme="minorBidi" w:hAnsiTheme="minorBidi" w:cs="Arial"/>
          <w:sz w:val="24"/>
          <w:szCs w:val="24"/>
          <w:rtl/>
        </w:rPr>
        <w:t xml:space="preserve">דלא </w:t>
      </w:r>
      <w:proofErr w:type="spellStart"/>
      <w:r w:rsidRPr="00BC52B8">
        <w:rPr>
          <w:rFonts w:asciiTheme="minorBidi" w:hAnsiTheme="minorBidi" w:cs="Arial"/>
          <w:sz w:val="24"/>
          <w:szCs w:val="24"/>
          <w:rtl/>
        </w:rPr>
        <w:t>שכיחא</w:t>
      </w:r>
      <w:proofErr w:type="spellEnd"/>
      <w:r w:rsidRPr="00BC52B8">
        <w:rPr>
          <w:rFonts w:asciiTheme="minorBidi" w:hAnsiTheme="minorBidi" w:cs="Arial"/>
          <w:sz w:val="24"/>
          <w:szCs w:val="24"/>
          <w:rtl/>
        </w:rPr>
        <w:t xml:space="preserve"> כלל שיהי' לאב א' ב' בנים בשיווי שמות וע"ד הזרות מצינו מר </w:t>
      </w:r>
      <w:proofErr w:type="spellStart"/>
      <w:r w:rsidRPr="00BC52B8">
        <w:rPr>
          <w:rFonts w:asciiTheme="minorBidi" w:hAnsiTheme="minorBidi" w:cs="Arial"/>
          <w:sz w:val="24"/>
          <w:szCs w:val="24"/>
          <w:rtl/>
        </w:rPr>
        <w:t>קשישא</w:t>
      </w:r>
      <w:proofErr w:type="spellEnd"/>
      <w:r w:rsidRPr="00BC52B8">
        <w:rPr>
          <w:rFonts w:asciiTheme="minorBidi" w:hAnsiTheme="minorBidi" w:cs="Arial"/>
          <w:sz w:val="24"/>
          <w:szCs w:val="24"/>
          <w:rtl/>
        </w:rPr>
        <w:t xml:space="preserve"> ומר ינוקא בני ר' </w:t>
      </w:r>
      <w:proofErr w:type="spellStart"/>
      <w:r w:rsidRPr="00BC52B8">
        <w:rPr>
          <w:rFonts w:asciiTheme="minorBidi" w:hAnsiTheme="minorBidi" w:cs="Arial"/>
          <w:sz w:val="24"/>
          <w:szCs w:val="24"/>
          <w:rtl/>
        </w:rPr>
        <w:t>חסדא</w:t>
      </w:r>
      <w:proofErr w:type="spellEnd"/>
    </w:p>
    <w:p w:rsidR="00BC52B8" w:rsidRPr="00BC52B8" w:rsidRDefault="00BC52B8" w:rsidP="00BC52B8">
      <w:pPr>
        <w:spacing w:line="240" w:lineRule="auto"/>
        <w:rPr>
          <w:rFonts w:asciiTheme="minorBidi" w:hAnsiTheme="minorBidi"/>
          <w:sz w:val="24"/>
          <w:szCs w:val="24"/>
          <w:rtl/>
        </w:rPr>
      </w:pPr>
      <w:bookmarkStart w:id="0" w:name="_GoBack"/>
      <w:bookmarkEnd w:id="0"/>
    </w:p>
    <w:p w:rsidR="004727E6" w:rsidRPr="003D1771" w:rsidRDefault="004727E6" w:rsidP="003D1771">
      <w:pPr>
        <w:spacing w:line="240" w:lineRule="auto"/>
        <w:rPr>
          <w:rFonts w:asciiTheme="minorBidi" w:hAnsiTheme="minorBidi"/>
          <w:sz w:val="24"/>
          <w:szCs w:val="24"/>
          <w:rtl/>
        </w:rPr>
      </w:pPr>
    </w:p>
    <w:p w:rsidR="003D1771" w:rsidRPr="003D1771" w:rsidRDefault="003D1771" w:rsidP="00EF46ED">
      <w:pPr>
        <w:spacing w:line="240" w:lineRule="auto"/>
        <w:rPr>
          <w:rFonts w:asciiTheme="minorBidi" w:hAnsiTheme="minorBidi"/>
          <w:sz w:val="24"/>
          <w:szCs w:val="24"/>
          <w:rtl/>
        </w:rPr>
      </w:pPr>
    </w:p>
    <w:p w:rsidR="00EF46ED" w:rsidRDefault="00EF46ED" w:rsidP="00EF46ED">
      <w:pPr>
        <w:spacing w:line="240" w:lineRule="auto"/>
        <w:rPr>
          <w:sz w:val="24"/>
          <w:szCs w:val="24"/>
          <w:rtl/>
        </w:rPr>
      </w:pPr>
    </w:p>
    <w:p w:rsidR="00EF46ED" w:rsidRPr="00EF46ED" w:rsidRDefault="00EF46ED" w:rsidP="00EF46ED">
      <w:pPr>
        <w:spacing w:line="240" w:lineRule="auto"/>
        <w:rPr>
          <w:sz w:val="24"/>
          <w:szCs w:val="24"/>
          <w:rtl/>
        </w:rPr>
      </w:pPr>
    </w:p>
    <w:p w:rsidR="00BB477D" w:rsidRPr="00BB477D" w:rsidRDefault="00BB477D">
      <w:pPr>
        <w:rPr>
          <w:sz w:val="24"/>
          <w:szCs w:val="24"/>
        </w:rPr>
      </w:pPr>
    </w:p>
    <w:sectPr w:rsidR="00BB477D" w:rsidRPr="00BB477D" w:rsidSect="00905C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D2" w:rsidRDefault="005049D2" w:rsidP="00EF46ED">
      <w:pPr>
        <w:spacing w:after="0" w:line="240" w:lineRule="auto"/>
      </w:pPr>
      <w:r>
        <w:separator/>
      </w:r>
    </w:p>
  </w:endnote>
  <w:endnote w:type="continuationSeparator" w:id="0">
    <w:p w:rsidR="005049D2" w:rsidRDefault="005049D2" w:rsidP="00EF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D2" w:rsidRDefault="005049D2" w:rsidP="00EF46ED">
      <w:pPr>
        <w:spacing w:after="0" w:line="240" w:lineRule="auto"/>
      </w:pPr>
      <w:r>
        <w:separator/>
      </w:r>
    </w:p>
  </w:footnote>
  <w:footnote w:type="continuationSeparator" w:id="0">
    <w:p w:rsidR="005049D2" w:rsidRDefault="005049D2" w:rsidP="00EF46ED">
      <w:pPr>
        <w:spacing w:after="0" w:line="240" w:lineRule="auto"/>
      </w:pPr>
      <w:r>
        <w:continuationSeparator/>
      </w:r>
    </w:p>
  </w:footnote>
  <w:footnote w:id="1">
    <w:p w:rsidR="00437739" w:rsidRDefault="00437739">
      <w:pPr>
        <w:pStyle w:val="a3"/>
        <w:rPr>
          <w:rFonts w:hint="cs"/>
          <w:rtl/>
        </w:rPr>
      </w:pPr>
      <w:r>
        <w:rPr>
          <w:rStyle w:val="a5"/>
        </w:rPr>
        <w:footnoteRef/>
      </w:r>
      <w:r>
        <w:rPr>
          <w:rtl/>
        </w:rPr>
        <w:t xml:space="preserve"> </w:t>
      </w:r>
      <w:r>
        <w:rPr>
          <w:rFonts w:hint="cs"/>
          <w:rtl/>
        </w:rPr>
        <w:t xml:space="preserve">דבר משה- בדומה לזה ביאר </w:t>
      </w:r>
      <w:proofErr w:type="spellStart"/>
      <w:r>
        <w:rPr>
          <w:rFonts w:hint="cs"/>
          <w:rtl/>
        </w:rPr>
        <w:t>רש"ר</w:t>
      </w:r>
      <w:proofErr w:type="spellEnd"/>
      <w:r>
        <w:rPr>
          <w:rFonts w:hint="cs"/>
          <w:rtl/>
        </w:rPr>
        <w:t xml:space="preserve"> הירש את הפסוק "כחיצים ביד גיבור כן בני הנעורים"- אלו הבנים שנולדו להורים כאשר היה צעירים. </w:t>
      </w:r>
    </w:p>
  </w:footnote>
  <w:footnote w:id="2">
    <w:p w:rsidR="00EF46ED" w:rsidRDefault="00EF46ED">
      <w:pPr>
        <w:pStyle w:val="a3"/>
        <w:rPr>
          <w:rFonts w:hint="cs"/>
        </w:rPr>
      </w:pPr>
      <w:r>
        <w:rPr>
          <w:rStyle w:val="a5"/>
        </w:rPr>
        <w:footnoteRef/>
      </w:r>
      <w:r>
        <w:rPr>
          <w:rtl/>
        </w:rPr>
        <w:t xml:space="preserve"> </w:t>
      </w:r>
      <w:r>
        <w:rPr>
          <w:rFonts w:hint="cs"/>
          <w:rtl/>
        </w:rPr>
        <w:t>כלומר "מר" זה לא השם של הבן אלא "כשהיה מר (רבינו..)"</w:t>
      </w:r>
    </w:p>
  </w:footnote>
  <w:footnote w:id="3">
    <w:p w:rsidR="00190308" w:rsidRDefault="00190308">
      <w:pPr>
        <w:pStyle w:val="a3"/>
        <w:rPr>
          <w:rFonts w:hint="cs"/>
        </w:rPr>
      </w:pPr>
      <w:r>
        <w:rPr>
          <w:rStyle w:val="a5"/>
        </w:rPr>
        <w:footnoteRef/>
      </w:r>
      <w:r>
        <w:rPr>
          <w:rtl/>
        </w:rPr>
        <w:t xml:space="preserve"> </w:t>
      </w:r>
      <w:r>
        <w:rPr>
          <w:rFonts w:hint="cs"/>
          <w:rtl/>
        </w:rPr>
        <w:t xml:space="preserve">לדוגמא "משה ואהרן </w:t>
      </w:r>
      <w:proofErr w:type="spellStart"/>
      <w:r>
        <w:rPr>
          <w:rFonts w:hint="cs"/>
          <w:rtl/>
        </w:rPr>
        <w:t>בכהניו</w:t>
      </w:r>
      <w:proofErr w:type="spellEnd"/>
      <w:r>
        <w:rPr>
          <w:rFonts w:hint="cs"/>
          <w:rtl/>
        </w:rPr>
        <w:t>..."</w:t>
      </w:r>
    </w:p>
  </w:footnote>
  <w:footnote w:id="4">
    <w:p w:rsidR="004727E6" w:rsidRDefault="004727E6">
      <w:pPr>
        <w:pStyle w:val="a3"/>
        <w:rPr>
          <w:rFonts w:hint="cs"/>
        </w:rPr>
      </w:pPr>
      <w:r>
        <w:rPr>
          <w:rStyle w:val="a5"/>
        </w:rPr>
        <w:footnoteRef/>
      </w:r>
      <w:r>
        <w:rPr>
          <w:rtl/>
        </w:rPr>
        <w:t xml:space="preserve"> </w:t>
      </w:r>
      <w:r>
        <w:rPr>
          <w:rFonts w:hint="cs"/>
          <w:rtl/>
        </w:rPr>
        <w:t xml:space="preserve">רבי מאיר צבי </w:t>
      </w:r>
      <w:proofErr w:type="spellStart"/>
      <w:r>
        <w:rPr>
          <w:rFonts w:hint="cs"/>
          <w:rtl/>
        </w:rPr>
        <w:t>וייטמאייר</w:t>
      </w:r>
      <w:proofErr w:type="spellEnd"/>
      <w:r>
        <w:rPr>
          <w:rFonts w:hint="cs"/>
          <w:rtl/>
        </w:rPr>
        <w:t xml:space="preserve"> , רבה של </w:t>
      </w:r>
      <w:proofErr w:type="spellStart"/>
      <w:r>
        <w:rPr>
          <w:rFonts w:hint="cs"/>
          <w:rtl/>
        </w:rPr>
        <w:t>סאמבור</w:t>
      </w:r>
      <w:proofErr w:type="spellEnd"/>
      <w:r>
        <w:rPr>
          <w:rFonts w:hint="cs"/>
          <w:rtl/>
        </w:rPr>
        <w:t xml:space="preserve"> , גליציה, במאה ה-19. </w:t>
      </w:r>
    </w:p>
  </w:footnote>
  <w:footnote w:id="5">
    <w:p w:rsidR="003D1771" w:rsidRDefault="003D1771">
      <w:pPr>
        <w:pStyle w:val="a3"/>
        <w:rPr>
          <w:rFonts w:hint="cs"/>
        </w:rPr>
      </w:pPr>
      <w:r>
        <w:rPr>
          <w:rStyle w:val="a5"/>
        </w:rPr>
        <w:footnoteRef/>
      </w:r>
      <w:r>
        <w:rPr>
          <w:rtl/>
        </w:rPr>
        <w:t xml:space="preserve"> </w:t>
      </w:r>
      <w:proofErr w:type="spellStart"/>
      <w:r>
        <w:rPr>
          <w:rFonts w:hint="cs"/>
          <w:rtl/>
        </w:rPr>
        <w:t>ח"ג</w:t>
      </w:r>
      <w:proofErr w:type="spellEnd"/>
      <w:r>
        <w:rPr>
          <w:rFonts w:hint="cs"/>
          <w:rtl/>
        </w:rPr>
        <w:t xml:space="preserve">, סימן </w:t>
      </w:r>
      <w:proofErr w:type="spellStart"/>
      <w:r>
        <w:rPr>
          <w:rFonts w:hint="cs"/>
          <w:rtl/>
        </w:rPr>
        <w:t>עה</w:t>
      </w:r>
      <w:proofErr w:type="spellEnd"/>
      <w:r>
        <w:rPr>
          <w:rFonts w:hint="cs"/>
          <w:rtl/>
        </w:rPr>
        <w:t xml:space="preserve"> </w:t>
      </w:r>
    </w:p>
  </w:footnote>
  <w:footnote w:id="6">
    <w:p w:rsidR="003E67EC" w:rsidRDefault="003E67EC">
      <w:pPr>
        <w:pStyle w:val="a3"/>
        <w:rPr>
          <w:rFonts w:hint="cs"/>
        </w:rPr>
      </w:pPr>
      <w:r>
        <w:rPr>
          <w:rStyle w:val="a5"/>
        </w:rPr>
        <w:footnoteRef/>
      </w:r>
      <w:r>
        <w:rPr>
          <w:rtl/>
        </w:rPr>
        <w:t xml:space="preserve"> </w:t>
      </w:r>
      <w:r>
        <w:rPr>
          <w:rFonts w:hint="cs"/>
          <w:rtl/>
        </w:rPr>
        <w:t xml:space="preserve">הרב מלכיאל צבי </w:t>
      </w:r>
      <w:proofErr w:type="spellStart"/>
      <w:r>
        <w:rPr>
          <w:rFonts w:hint="cs"/>
          <w:rtl/>
        </w:rPr>
        <w:t>טננבוים</w:t>
      </w:r>
      <w:proofErr w:type="spellEnd"/>
      <w:r>
        <w:rPr>
          <w:rFonts w:hint="cs"/>
          <w:rtl/>
        </w:rPr>
        <w:t xml:space="preserve">, רב העיר </w:t>
      </w:r>
      <w:proofErr w:type="spellStart"/>
      <w:r>
        <w:rPr>
          <w:rFonts w:hint="cs"/>
          <w:rtl/>
        </w:rPr>
        <w:t>לומז'ה</w:t>
      </w:r>
      <w:proofErr w:type="spellEnd"/>
      <w:r>
        <w:rPr>
          <w:rFonts w:hint="cs"/>
          <w:rtl/>
        </w:rPr>
        <w:t>. נפטר 1910 בדרכו חזרה מאסיפת רבנים בעיר פטרבורג</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7D"/>
    <w:rsid w:val="00190308"/>
    <w:rsid w:val="003D1771"/>
    <w:rsid w:val="003E67EC"/>
    <w:rsid w:val="00437739"/>
    <w:rsid w:val="004727E6"/>
    <w:rsid w:val="005049D2"/>
    <w:rsid w:val="00905C59"/>
    <w:rsid w:val="00966186"/>
    <w:rsid w:val="00BB477D"/>
    <w:rsid w:val="00BB545D"/>
    <w:rsid w:val="00BC52B8"/>
    <w:rsid w:val="00EB2B65"/>
    <w:rsid w:val="00EF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F94B"/>
  <w15:chartTrackingRefBased/>
  <w15:docId w15:val="{89B7BDF8-43EE-45BA-8D9C-7ABA707A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46ED"/>
    <w:pPr>
      <w:spacing w:after="0" w:line="240" w:lineRule="auto"/>
    </w:pPr>
    <w:rPr>
      <w:sz w:val="20"/>
      <w:szCs w:val="20"/>
    </w:rPr>
  </w:style>
  <w:style w:type="character" w:customStyle="1" w:styleId="a4">
    <w:name w:val="טקסט הערת שוליים תו"/>
    <w:basedOn w:val="a0"/>
    <w:link w:val="a3"/>
    <w:uiPriority w:val="99"/>
    <w:semiHidden/>
    <w:rsid w:val="00EF46ED"/>
    <w:rPr>
      <w:sz w:val="20"/>
      <w:szCs w:val="20"/>
    </w:rPr>
  </w:style>
  <w:style w:type="character" w:styleId="a5">
    <w:name w:val="footnote reference"/>
    <w:basedOn w:val="a0"/>
    <w:uiPriority w:val="99"/>
    <w:semiHidden/>
    <w:unhideWhenUsed/>
    <w:rsid w:val="00EF4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0B64-5686-450B-ADEA-F0DA22B0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491</Words>
  <Characters>2459</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2024-06-30T18:23:00Z</dcterms:created>
  <dcterms:modified xsi:type="dcterms:W3CDTF">2024-06-30T19:38:00Z</dcterms:modified>
</cp:coreProperties>
</file>