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525F" w:rsidRDefault="0011479B">
      <w:pPr>
        <w:rPr>
          <w:rtl/>
        </w:rPr>
      </w:pPr>
      <w:r>
        <w:rPr>
          <w:rFonts w:hint="cs"/>
          <w:rtl/>
        </w:rPr>
        <w:t>בס"ד</w:t>
      </w:r>
    </w:p>
    <w:p w:rsidR="0011479B" w:rsidRDefault="0011479B">
      <w:pPr>
        <w:rPr>
          <w:rFonts w:hint="cs"/>
          <w:b/>
          <w:bCs/>
          <w:sz w:val="36"/>
          <w:szCs w:val="36"/>
          <w:rtl/>
        </w:rPr>
      </w:pPr>
      <w:r>
        <w:rPr>
          <w:rFonts w:hint="cs"/>
          <w:rtl/>
        </w:rPr>
        <w:t xml:space="preserve">                                 </w:t>
      </w:r>
      <w:r>
        <w:rPr>
          <w:rFonts w:hint="cs"/>
          <w:b/>
          <w:bCs/>
          <w:sz w:val="36"/>
          <w:szCs w:val="36"/>
          <w:rtl/>
        </w:rPr>
        <w:t xml:space="preserve">שומר </w:t>
      </w:r>
      <w:proofErr w:type="spellStart"/>
      <w:r>
        <w:rPr>
          <w:rFonts w:hint="cs"/>
          <w:b/>
          <w:bCs/>
          <w:sz w:val="36"/>
          <w:szCs w:val="36"/>
          <w:rtl/>
        </w:rPr>
        <w:t>אבידה</w:t>
      </w:r>
      <w:proofErr w:type="spellEnd"/>
      <w:r>
        <w:rPr>
          <w:rFonts w:hint="cs"/>
          <w:b/>
          <w:bCs/>
          <w:sz w:val="36"/>
          <w:szCs w:val="36"/>
          <w:rtl/>
        </w:rPr>
        <w:t xml:space="preserve"> כשומר שכר</w:t>
      </w:r>
      <w:r w:rsidR="00520101">
        <w:rPr>
          <w:rFonts w:hint="cs"/>
          <w:b/>
          <w:bCs/>
          <w:sz w:val="36"/>
          <w:szCs w:val="36"/>
          <w:rtl/>
        </w:rPr>
        <w:t>-דף נו, ב</w:t>
      </w:r>
    </w:p>
    <w:p w:rsidR="00520101" w:rsidRDefault="00520101">
      <w:pPr>
        <w:rPr>
          <w:b/>
          <w:bCs/>
          <w:sz w:val="36"/>
          <w:szCs w:val="36"/>
          <w:rtl/>
        </w:rPr>
      </w:pPr>
      <w:r>
        <w:rPr>
          <w:rFonts w:hint="cs"/>
          <w:b/>
          <w:bCs/>
          <w:sz w:val="36"/>
          <w:szCs w:val="36"/>
          <w:rtl/>
        </w:rPr>
        <w:t xml:space="preserve">                             </w:t>
      </w:r>
      <w:bookmarkStart w:id="0" w:name="_GoBack"/>
      <w:bookmarkEnd w:id="0"/>
      <w:r>
        <w:rPr>
          <w:rFonts w:hint="cs"/>
          <w:b/>
          <w:bCs/>
          <w:sz w:val="36"/>
          <w:szCs w:val="36"/>
          <w:rtl/>
        </w:rPr>
        <w:t xml:space="preserve">  </w:t>
      </w:r>
      <w:r>
        <w:rPr>
          <w:rFonts w:cs="Arial"/>
          <w:b/>
          <w:bCs/>
          <w:sz w:val="24"/>
          <w:szCs w:val="24"/>
          <w:rtl/>
        </w:rPr>
        <w:t>הרב משה חיים הר-נוי</w:t>
      </w:r>
    </w:p>
    <w:p w:rsidR="0011479B" w:rsidRDefault="0011479B" w:rsidP="0011479B">
      <w:pPr>
        <w:rPr>
          <w:sz w:val="24"/>
          <w:szCs w:val="24"/>
          <w:rtl/>
        </w:rPr>
      </w:pPr>
      <w:r w:rsidRPr="0011479B">
        <w:rPr>
          <w:rFonts w:hint="cs"/>
          <w:sz w:val="24"/>
          <w:szCs w:val="24"/>
          <w:rtl/>
        </w:rPr>
        <w:t xml:space="preserve">הגמרא בדף </w:t>
      </w:r>
      <w:r>
        <w:rPr>
          <w:rFonts w:hint="cs"/>
          <w:sz w:val="24"/>
          <w:szCs w:val="24"/>
          <w:rtl/>
        </w:rPr>
        <w:t>נו עמוד ב מביאה מחלוקת רבה ורב יוסף לגבי אחריות שמירתו של שומר אבדה. שיטת רבה שדינו כשומר חנם ושיטת רב יוסף שדינו כשומר שכר. רב יוסף מביא שני נימוקים לשיטתו:</w:t>
      </w:r>
    </w:p>
    <w:p w:rsidR="00731E96" w:rsidRPr="00731E96" w:rsidRDefault="0011479B" w:rsidP="00731E96">
      <w:pPr>
        <w:rPr>
          <w:b/>
          <w:bCs/>
          <w:sz w:val="24"/>
          <w:szCs w:val="24"/>
          <w:rtl/>
        </w:rPr>
      </w:pPr>
      <w:r w:rsidRPr="00731E96">
        <w:rPr>
          <w:rFonts w:hint="cs"/>
          <w:b/>
          <w:bCs/>
          <w:sz w:val="24"/>
          <w:szCs w:val="24"/>
          <w:rtl/>
        </w:rPr>
        <w:t xml:space="preserve">א. אם יבוא עני בעת שהוא מטפל </w:t>
      </w:r>
      <w:proofErr w:type="spellStart"/>
      <w:r w:rsidRPr="00731E96">
        <w:rPr>
          <w:rFonts w:hint="cs"/>
          <w:b/>
          <w:bCs/>
          <w:sz w:val="24"/>
          <w:szCs w:val="24"/>
          <w:rtl/>
        </w:rPr>
        <w:t>באבידה</w:t>
      </w:r>
      <w:proofErr w:type="spellEnd"/>
      <w:r w:rsidRPr="00731E96">
        <w:rPr>
          <w:rFonts w:hint="cs"/>
          <w:b/>
          <w:bCs/>
          <w:sz w:val="24"/>
          <w:szCs w:val="24"/>
          <w:rtl/>
        </w:rPr>
        <w:t xml:space="preserve"> יה</w:t>
      </w:r>
      <w:r w:rsidR="00731E96" w:rsidRPr="00731E96">
        <w:rPr>
          <w:rFonts w:hint="cs"/>
          <w:b/>
          <w:bCs/>
          <w:sz w:val="24"/>
          <w:szCs w:val="24"/>
          <w:rtl/>
        </w:rPr>
        <w:t xml:space="preserve">יה פטור מלתת לו צדקה וזהו שכרו </w:t>
      </w:r>
    </w:p>
    <w:p w:rsidR="001C79C3" w:rsidRDefault="001C79C3">
      <w:pPr>
        <w:rPr>
          <w:sz w:val="24"/>
          <w:szCs w:val="24"/>
          <w:rtl/>
        </w:rPr>
      </w:pPr>
      <w:r>
        <w:rPr>
          <w:rFonts w:hint="cs"/>
          <w:sz w:val="24"/>
          <w:szCs w:val="24"/>
          <w:rtl/>
        </w:rPr>
        <w:t xml:space="preserve">בספר </w:t>
      </w:r>
      <w:r w:rsidRPr="001C79C3">
        <w:rPr>
          <w:rFonts w:hint="cs"/>
          <w:b/>
          <w:bCs/>
          <w:sz w:val="24"/>
          <w:szCs w:val="24"/>
          <w:rtl/>
        </w:rPr>
        <w:t>נחלת יעקב</w:t>
      </w:r>
      <w:r>
        <w:rPr>
          <w:rFonts w:hint="cs"/>
          <w:sz w:val="24"/>
          <w:szCs w:val="24"/>
          <w:rtl/>
        </w:rPr>
        <w:t xml:space="preserve"> (לבעל קצות החושן) מקשה כיצד טיפול באבדה דוחה את מצוות צדקה הרי העוסק במצווה פטור ממצוות עשה</w:t>
      </w:r>
      <w:r w:rsidR="00FE290C">
        <w:rPr>
          <w:rStyle w:val="a5"/>
          <w:sz w:val="24"/>
          <w:szCs w:val="24"/>
          <w:rtl/>
        </w:rPr>
        <w:footnoteReference w:id="1"/>
      </w:r>
      <w:r>
        <w:rPr>
          <w:rFonts w:hint="cs"/>
          <w:sz w:val="24"/>
          <w:szCs w:val="24"/>
          <w:rtl/>
        </w:rPr>
        <w:t xml:space="preserve"> אך </w:t>
      </w:r>
      <w:proofErr w:type="spellStart"/>
      <w:r>
        <w:rPr>
          <w:rFonts w:hint="cs"/>
          <w:sz w:val="24"/>
          <w:szCs w:val="24"/>
          <w:rtl/>
        </w:rPr>
        <w:t>בודאי</w:t>
      </w:r>
      <w:proofErr w:type="spellEnd"/>
      <w:r>
        <w:rPr>
          <w:rFonts w:hint="cs"/>
          <w:sz w:val="24"/>
          <w:szCs w:val="24"/>
          <w:rtl/>
        </w:rPr>
        <w:t xml:space="preserve"> לא ממצוות לא תעשה וקל וחומר מצוות צדקה שיש בה שני </w:t>
      </w:r>
      <w:proofErr w:type="spellStart"/>
      <w:r>
        <w:rPr>
          <w:rFonts w:hint="cs"/>
          <w:sz w:val="24"/>
          <w:szCs w:val="24"/>
          <w:rtl/>
        </w:rPr>
        <w:t>לאווין</w:t>
      </w:r>
      <w:proofErr w:type="spellEnd"/>
      <w:r>
        <w:rPr>
          <w:rFonts w:hint="cs"/>
          <w:sz w:val="24"/>
          <w:szCs w:val="24"/>
          <w:rtl/>
        </w:rPr>
        <w:t xml:space="preserve"> : לא תאמץ את לבבך ולא תקפוץ את ידך?</w:t>
      </w:r>
    </w:p>
    <w:p w:rsidR="001C79C3" w:rsidRDefault="001C79C3">
      <w:pPr>
        <w:rPr>
          <w:sz w:val="24"/>
          <w:szCs w:val="24"/>
          <w:rtl/>
        </w:rPr>
      </w:pPr>
      <w:r>
        <w:rPr>
          <w:rFonts w:hint="cs"/>
          <w:sz w:val="24"/>
          <w:szCs w:val="24"/>
          <w:rtl/>
        </w:rPr>
        <w:t xml:space="preserve">והשיב כי מצוות צדקה היא מצוות עשה בלבד ואילו הציווי הכפול "לא תאמץ" ו"לא תקפוץ" מדבר על אדם שראה עני ערום או רעב ולא סייע בידו ולא על עני "רגיל" שלא הגיע למצב הזה . ולכן חידש הנחלת יעקב כי שומר אבדה פטור מצדקה אך אם הגיע אליו עני ערום או רעב אז ודאי שהוא חייב לטפל בו כי העוסק במצווה לא דוחה מצוות לא תעשה. </w:t>
      </w:r>
    </w:p>
    <w:p w:rsidR="00731E96" w:rsidRDefault="00731E96" w:rsidP="00731E96">
      <w:pPr>
        <w:rPr>
          <w:sz w:val="24"/>
          <w:szCs w:val="24"/>
          <w:rtl/>
        </w:rPr>
      </w:pPr>
      <w:r>
        <w:rPr>
          <w:rFonts w:hint="cs"/>
          <w:sz w:val="24"/>
          <w:szCs w:val="24"/>
          <w:rtl/>
        </w:rPr>
        <w:t xml:space="preserve"> אלא יש לציין כי ה</w:t>
      </w:r>
      <w:r w:rsidRPr="00731E96">
        <w:rPr>
          <w:rFonts w:hint="cs"/>
          <w:b/>
          <w:bCs/>
          <w:sz w:val="24"/>
          <w:szCs w:val="24"/>
          <w:rtl/>
        </w:rPr>
        <w:t>רמב"ם (</w:t>
      </w:r>
      <w:r>
        <w:rPr>
          <w:rFonts w:hint="cs"/>
          <w:sz w:val="24"/>
          <w:szCs w:val="24"/>
          <w:rtl/>
        </w:rPr>
        <w:t xml:space="preserve">הלכות </w:t>
      </w:r>
      <w:proofErr w:type="spellStart"/>
      <w:r>
        <w:rPr>
          <w:rFonts w:hint="cs"/>
          <w:sz w:val="24"/>
          <w:szCs w:val="24"/>
          <w:rtl/>
        </w:rPr>
        <w:t>גזילה</w:t>
      </w:r>
      <w:proofErr w:type="spellEnd"/>
      <w:r>
        <w:rPr>
          <w:rFonts w:hint="cs"/>
          <w:sz w:val="24"/>
          <w:szCs w:val="24"/>
          <w:rtl/>
        </w:rPr>
        <w:t xml:space="preserve"> </w:t>
      </w:r>
      <w:proofErr w:type="spellStart"/>
      <w:r>
        <w:rPr>
          <w:rFonts w:hint="cs"/>
          <w:sz w:val="24"/>
          <w:szCs w:val="24"/>
          <w:rtl/>
        </w:rPr>
        <w:t>ואבידה</w:t>
      </w:r>
      <w:proofErr w:type="spellEnd"/>
      <w:r>
        <w:rPr>
          <w:rFonts w:hint="cs"/>
          <w:sz w:val="24"/>
          <w:szCs w:val="24"/>
          <w:rtl/>
        </w:rPr>
        <w:t xml:space="preserve"> , </w:t>
      </w:r>
      <w:proofErr w:type="spellStart"/>
      <w:r>
        <w:rPr>
          <w:rFonts w:hint="cs"/>
          <w:sz w:val="24"/>
          <w:szCs w:val="24"/>
          <w:rtl/>
        </w:rPr>
        <w:t>פ"יג</w:t>
      </w:r>
      <w:proofErr w:type="spellEnd"/>
      <w:r>
        <w:rPr>
          <w:rFonts w:hint="cs"/>
          <w:sz w:val="24"/>
          <w:szCs w:val="24"/>
          <w:rtl/>
        </w:rPr>
        <w:t xml:space="preserve">, </w:t>
      </w:r>
      <w:proofErr w:type="spellStart"/>
      <w:r>
        <w:rPr>
          <w:rFonts w:hint="cs"/>
          <w:sz w:val="24"/>
          <w:szCs w:val="24"/>
          <w:rtl/>
        </w:rPr>
        <w:t>ה"י</w:t>
      </w:r>
      <w:proofErr w:type="spellEnd"/>
      <w:r>
        <w:rPr>
          <w:rFonts w:hint="cs"/>
          <w:sz w:val="24"/>
          <w:szCs w:val="24"/>
          <w:rtl/>
        </w:rPr>
        <w:t>) פסק כרב יוסף וכתב כי הסיבה לכך היא "</w:t>
      </w:r>
      <w:r w:rsidRPr="00731E96">
        <w:rPr>
          <w:rFonts w:cs="Arial"/>
          <w:sz w:val="24"/>
          <w:szCs w:val="24"/>
          <w:rtl/>
        </w:rPr>
        <w:t xml:space="preserve">מפני שהוא עוסק </w:t>
      </w:r>
      <w:proofErr w:type="spellStart"/>
      <w:r w:rsidRPr="00731E96">
        <w:rPr>
          <w:rFonts w:cs="Arial"/>
          <w:sz w:val="24"/>
          <w:szCs w:val="24"/>
          <w:rtl/>
        </w:rPr>
        <w:t>במצוה</w:t>
      </w:r>
      <w:proofErr w:type="spellEnd"/>
      <w:r w:rsidRPr="00731E96">
        <w:rPr>
          <w:rFonts w:cs="Arial"/>
          <w:sz w:val="24"/>
          <w:szCs w:val="24"/>
          <w:rtl/>
        </w:rPr>
        <w:t xml:space="preserve"> ונפטר </w:t>
      </w:r>
      <w:r w:rsidRPr="00731E96">
        <w:rPr>
          <w:rFonts w:cs="Arial"/>
          <w:b/>
          <w:bCs/>
          <w:sz w:val="24"/>
          <w:szCs w:val="24"/>
          <w:rtl/>
        </w:rPr>
        <w:t>מכמה מצות עשה</w:t>
      </w:r>
      <w:r w:rsidRPr="00731E96">
        <w:rPr>
          <w:rFonts w:cs="Arial"/>
          <w:sz w:val="24"/>
          <w:szCs w:val="24"/>
          <w:rtl/>
        </w:rPr>
        <w:t xml:space="preserve"> כל זמן שהוא עוסק בשמירתה.</w:t>
      </w:r>
      <w:r>
        <w:rPr>
          <w:rFonts w:cs="Arial" w:hint="cs"/>
          <w:sz w:val="24"/>
          <w:szCs w:val="24"/>
          <w:rtl/>
        </w:rPr>
        <w:t xml:space="preserve">" </w:t>
      </w:r>
      <w:r>
        <w:rPr>
          <w:rFonts w:hint="cs"/>
          <w:sz w:val="24"/>
          <w:szCs w:val="24"/>
          <w:rtl/>
        </w:rPr>
        <w:t xml:space="preserve"> ומדוע לא הזכיר את דברי הגמרא ספציפית לגבי פטור מלתת צדקה לעני? אלא יש לומר כי הרמב"ם הרגיש בקושיה הנ"ל ולכן פסק כי אומנם שומר </w:t>
      </w:r>
      <w:proofErr w:type="spellStart"/>
      <w:r>
        <w:rPr>
          <w:rFonts w:hint="cs"/>
          <w:sz w:val="24"/>
          <w:szCs w:val="24"/>
          <w:rtl/>
        </w:rPr>
        <w:t>אבידה</w:t>
      </w:r>
      <w:proofErr w:type="spellEnd"/>
      <w:r>
        <w:rPr>
          <w:rFonts w:hint="cs"/>
          <w:sz w:val="24"/>
          <w:szCs w:val="24"/>
          <w:rtl/>
        </w:rPr>
        <w:t xml:space="preserve"> פטור ממצוות עשה אך לא ממצוות לא תעשה כגון מצוות צדקה. </w:t>
      </w:r>
    </w:p>
    <w:p w:rsidR="00FE290C" w:rsidRPr="00FE290C" w:rsidRDefault="00731E96" w:rsidP="00FE290C">
      <w:pPr>
        <w:rPr>
          <w:sz w:val="24"/>
          <w:szCs w:val="24"/>
          <w:rtl/>
        </w:rPr>
      </w:pPr>
      <w:r>
        <w:rPr>
          <w:rFonts w:hint="cs"/>
          <w:sz w:val="24"/>
          <w:szCs w:val="24"/>
          <w:rtl/>
        </w:rPr>
        <w:t xml:space="preserve">ואף </w:t>
      </w:r>
      <w:proofErr w:type="spellStart"/>
      <w:r w:rsidRPr="00A1353F">
        <w:rPr>
          <w:rFonts w:hint="cs"/>
          <w:b/>
          <w:bCs/>
          <w:sz w:val="24"/>
          <w:szCs w:val="24"/>
          <w:rtl/>
        </w:rPr>
        <w:t>הסמ"ע</w:t>
      </w:r>
      <w:proofErr w:type="spellEnd"/>
      <w:r>
        <w:rPr>
          <w:rFonts w:hint="cs"/>
          <w:sz w:val="24"/>
          <w:szCs w:val="24"/>
          <w:rtl/>
        </w:rPr>
        <w:t xml:space="preserve"> (</w:t>
      </w:r>
      <w:proofErr w:type="spellStart"/>
      <w:r>
        <w:rPr>
          <w:rFonts w:hint="cs"/>
          <w:sz w:val="24"/>
          <w:szCs w:val="24"/>
          <w:rtl/>
        </w:rPr>
        <w:t>חו"מ</w:t>
      </w:r>
      <w:proofErr w:type="spellEnd"/>
      <w:r>
        <w:rPr>
          <w:rFonts w:hint="cs"/>
          <w:sz w:val="24"/>
          <w:szCs w:val="24"/>
          <w:rtl/>
        </w:rPr>
        <w:t xml:space="preserve"> </w:t>
      </w:r>
      <w:proofErr w:type="spellStart"/>
      <w:r>
        <w:rPr>
          <w:rFonts w:hint="cs"/>
          <w:sz w:val="24"/>
          <w:szCs w:val="24"/>
          <w:rtl/>
        </w:rPr>
        <w:t>רסז</w:t>
      </w:r>
      <w:proofErr w:type="spellEnd"/>
      <w:r>
        <w:rPr>
          <w:rFonts w:hint="cs"/>
          <w:sz w:val="24"/>
          <w:szCs w:val="24"/>
          <w:rtl/>
        </w:rPr>
        <w:t xml:space="preserve">, </w:t>
      </w:r>
      <w:proofErr w:type="spellStart"/>
      <w:r>
        <w:rPr>
          <w:rFonts w:hint="cs"/>
          <w:sz w:val="24"/>
          <w:szCs w:val="24"/>
          <w:rtl/>
        </w:rPr>
        <w:t>טז</w:t>
      </w:r>
      <w:proofErr w:type="spellEnd"/>
      <w:r>
        <w:rPr>
          <w:rFonts w:hint="cs"/>
          <w:sz w:val="24"/>
          <w:szCs w:val="24"/>
          <w:rtl/>
        </w:rPr>
        <w:t xml:space="preserve">) כותב כי </w:t>
      </w:r>
      <w:r w:rsidR="00A1353F">
        <w:rPr>
          <w:rFonts w:hint="cs"/>
          <w:sz w:val="24"/>
          <w:szCs w:val="24"/>
          <w:rtl/>
        </w:rPr>
        <w:t>"</w:t>
      </w:r>
      <w:r w:rsidR="00A1353F" w:rsidRPr="00A1353F">
        <w:rPr>
          <w:rFonts w:cs="Arial"/>
          <w:sz w:val="24"/>
          <w:szCs w:val="24"/>
          <w:rtl/>
        </w:rPr>
        <w:t xml:space="preserve"> ובזמן שעוסק בתיקון </w:t>
      </w:r>
      <w:proofErr w:type="spellStart"/>
      <w:r w:rsidR="00A1353F" w:rsidRPr="00A1353F">
        <w:rPr>
          <w:rFonts w:cs="Arial"/>
          <w:sz w:val="24"/>
          <w:szCs w:val="24"/>
          <w:rtl/>
        </w:rPr>
        <w:t>האבידה</w:t>
      </w:r>
      <w:proofErr w:type="spellEnd"/>
      <w:r w:rsidR="00A1353F" w:rsidRPr="00A1353F">
        <w:rPr>
          <w:rFonts w:cs="Arial"/>
          <w:sz w:val="24"/>
          <w:szCs w:val="24"/>
          <w:rtl/>
        </w:rPr>
        <w:t xml:space="preserve"> אם בא עני ומבקש ממנו דבר צדקה </w:t>
      </w:r>
      <w:r w:rsidR="00A1353F" w:rsidRPr="00A1353F">
        <w:rPr>
          <w:rFonts w:cs="Arial"/>
          <w:b/>
          <w:bCs/>
          <w:sz w:val="24"/>
          <w:szCs w:val="24"/>
          <w:rtl/>
        </w:rPr>
        <w:t>או פת לחם,</w:t>
      </w:r>
      <w:r w:rsidR="00A1353F" w:rsidRPr="00A1353F">
        <w:rPr>
          <w:rFonts w:cs="Arial"/>
          <w:sz w:val="24"/>
          <w:szCs w:val="24"/>
          <w:rtl/>
        </w:rPr>
        <w:t xml:space="preserve"> הוא פטור </w:t>
      </w:r>
      <w:proofErr w:type="spellStart"/>
      <w:r w:rsidR="00A1353F" w:rsidRPr="00A1353F">
        <w:rPr>
          <w:rFonts w:cs="Arial"/>
          <w:sz w:val="24"/>
          <w:szCs w:val="24"/>
          <w:rtl/>
        </w:rPr>
        <w:t>מליתן</w:t>
      </w:r>
      <w:proofErr w:type="spellEnd"/>
      <w:r w:rsidR="00A1353F" w:rsidRPr="00A1353F">
        <w:rPr>
          <w:rFonts w:cs="Arial"/>
          <w:sz w:val="24"/>
          <w:szCs w:val="24"/>
          <w:rtl/>
        </w:rPr>
        <w:t xml:space="preserve"> לו, </w:t>
      </w:r>
      <w:proofErr w:type="spellStart"/>
      <w:r w:rsidR="00A1353F" w:rsidRPr="00A1353F">
        <w:rPr>
          <w:rFonts w:cs="Arial"/>
          <w:sz w:val="24"/>
          <w:szCs w:val="24"/>
          <w:rtl/>
        </w:rPr>
        <w:t>דהעוסק</w:t>
      </w:r>
      <w:proofErr w:type="spellEnd"/>
      <w:r w:rsidR="00A1353F" w:rsidRPr="00A1353F">
        <w:rPr>
          <w:rFonts w:cs="Arial"/>
          <w:sz w:val="24"/>
          <w:szCs w:val="24"/>
          <w:rtl/>
        </w:rPr>
        <w:t xml:space="preserve"> </w:t>
      </w:r>
      <w:proofErr w:type="spellStart"/>
      <w:r w:rsidR="00A1353F" w:rsidRPr="00A1353F">
        <w:rPr>
          <w:rFonts w:cs="Arial"/>
          <w:sz w:val="24"/>
          <w:szCs w:val="24"/>
          <w:rtl/>
        </w:rPr>
        <w:t>במצוה</w:t>
      </w:r>
      <w:proofErr w:type="spellEnd"/>
      <w:r w:rsidR="00A1353F" w:rsidRPr="00A1353F">
        <w:rPr>
          <w:rFonts w:cs="Arial"/>
          <w:sz w:val="24"/>
          <w:szCs w:val="24"/>
          <w:rtl/>
        </w:rPr>
        <w:t xml:space="preserve"> פטור מן </w:t>
      </w:r>
      <w:proofErr w:type="spellStart"/>
      <w:r w:rsidR="00A1353F" w:rsidRPr="00A1353F">
        <w:rPr>
          <w:rFonts w:cs="Arial"/>
          <w:sz w:val="24"/>
          <w:szCs w:val="24"/>
          <w:rtl/>
        </w:rPr>
        <w:t>המצוה</w:t>
      </w:r>
      <w:proofErr w:type="spellEnd"/>
      <w:r w:rsidR="00A1353F" w:rsidRPr="00A1353F">
        <w:rPr>
          <w:rFonts w:cs="Arial"/>
          <w:sz w:val="24"/>
          <w:szCs w:val="24"/>
          <w:rtl/>
        </w:rPr>
        <w:t>, וזהו שכרו</w:t>
      </w:r>
      <w:r w:rsidR="00A1353F">
        <w:rPr>
          <w:rFonts w:hint="cs"/>
          <w:sz w:val="24"/>
          <w:szCs w:val="24"/>
          <w:rtl/>
        </w:rPr>
        <w:t xml:space="preserve">" </w:t>
      </w:r>
    </w:p>
    <w:p w:rsidR="001E115C" w:rsidRDefault="00FE290C" w:rsidP="001A5D48">
      <w:pPr>
        <w:rPr>
          <w:sz w:val="24"/>
          <w:szCs w:val="24"/>
          <w:rtl/>
        </w:rPr>
      </w:pPr>
      <w:proofErr w:type="spellStart"/>
      <w:r w:rsidRPr="00FE290C">
        <w:rPr>
          <w:rFonts w:cs="Arial"/>
          <w:b/>
          <w:bCs/>
          <w:sz w:val="24"/>
          <w:szCs w:val="24"/>
          <w:rtl/>
        </w:rPr>
        <w:t>בשו"ת</w:t>
      </w:r>
      <w:proofErr w:type="spellEnd"/>
      <w:r w:rsidRPr="00FE290C">
        <w:rPr>
          <w:rFonts w:cs="Arial"/>
          <w:b/>
          <w:bCs/>
          <w:sz w:val="24"/>
          <w:szCs w:val="24"/>
          <w:rtl/>
        </w:rPr>
        <w:t xml:space="preserve"> יד אלעזר</w:t>
      </w:r>
      <w:r w:rsidRPr="00FE290C">
        <w:rPr>
          <w:rFonts w:cs="Arial"/>
          <w:sz w:val="24"/>
          <w:szCs w:val="24"/>
          <w:rtl/>
        </w:rPr>
        <w:t xml:space="preserve"> (רבי אלעזר הלוי איש </w:t>
      </w:r>
      <w:proofErr w:type="spellStart"/>
      <w:r w:rsidRPr="00FE290C">
        <w:rPr>
          <w:rFonts w:cs="Arial"/>
          <w:sz w:val="24"/>
          <w:szCs w:val="24"/>
          <w:rtl/>
        </w:rPr>
        <w:t>הורוויץ</w:t>
      </w:r>
      <w:proofErr w:type="spellEnd"/>
      <w:r w:rsidRPr="00FE290C">
        <w:rPr>
          <w:rFonts w:cs="Arial"/>
          <w:sz w:val="24"/>
          <w:szCs w:val="24"/>
          <w:rtl/>
        </w:rPr>
        <w:t xml:space="preserve">, </w:t>
      </w:r>
      <w:r>
        <w:rPr>
          <w:rFonts w:cs="Arial" w:hint="cs"/>
          <w:sz w:val="24"/>
          <w:szCs w:val="24"/>
          <w:rtl/>
        </w:rPr>
        <w:t xml:space="preserve">מוינה סימן </w:t>
      </w:r>
      <w:r w:rsidRPr="00FE290C">
        <w:rPr>
          <w:rFonts w:cs="Arial"/>
          <w:sz w:val="24"/>
          <w:szCs w:val="24"/>
          <w:rtl/>
        </w:rPr>
        <w:t xml:space="preserve"> לד)</w:t>
      </w:r>
      <w:r>
        <w:rPr>
          <w:rFonts w:hint="cs"/>
          <w:sz w:val="24"/>
          <w:szCs w:val="24"/>
          <w:rtl/>
        </w:rPr>
        <w:t xml:space="preserve"> כתב כי הלאו של "לא תאמץ ולא תקפוץ" זה רק למי שעושה כן בקביעות ולכן לאדם רגיל מצוות צדקה היא מצוות עשה. </w:t>
      </w:r>
      <w:r w:rsidR="00BE3CE0">
        <w:rPr>
          <w:rFonts w:hint="cs"/>
          <w:sz w:val="24"/>
          <w:szCs w:val="24"/>
          <w:rtl/>
        </w:rPr>
        <w:t xml:space="preserve">  </w:t>
      </w:r>
      <w:r w:rsidR="001E115C">
        <w:rPr>
          <w:rFonts w:hint="cs"/>
          <w:sz w:val="24"/>
          <w:szCs w:val="24"/>
          <w:rtl/>
        </w:rPr>
        <w:t xml:space="preserve"> </w:t>
      </w:r>
    </w:p>
    <w:p w:rsidR="00731E96" w:rsidRDefault="008A70C5">
      <w:pPr>
        <w:rPr>
          <w:b/>
          <w:bCs/>
          <w:sz w:val="24"/>
          <w:szCs w:val="24"/>
          <w:rtl/>
        </w:rPr>
      </w:pPr>
      <w:r>
        <w:rPr>
          <w:rFonts w:hint="cs"/>
          <w:b/>
          <w:bCs/>
          <w:sz w:val="24"/>
          <w:szCs w:val="24"/>
          <w:rtl/>
        </w:rPr>
        <w:t xml:space="preserve">ב. </w:t>
      </w:r>
      <w:r w:rsidRPr="008A70C5">
        <w:rPr>
          <w:rFonts w:hint="cs"/>
          <w:b/>
          <w:bCs/>
          <w:sz w:val="24"/>
          <w:szCs w:val="24"/>
          <w:rtl/>
        </w:rPr>
        <w:t xml:space="preserve">מכיוון שהתורה שעבדה אותו בעל </w:t>
      </w:r>
      <w:proofErr w:type="spellStart"/>
      <w:r w:rsidRPr="008A70C5">
        <w:rPr>
          <w:rFonts w:hint="cs"/>
          <w:b/>
          <w:bCs/>
          <w:sz w:val="24"/>
          <w:szCs w:val="24"/>
          <w:rtl/>
        </w:rPr>
        <w:t>כרחו</w:t>
      </w:r>
      <w:proofErr w:type="spellEnd"/>
      <w:r w:rsidRPr="008A70C5">
        <w:rPr>
          <w:rFonts w:hint="cs"/>
          <w:b/>
          <w:bCs/>
          <w:sz w:val="24"/>
          <w:szCs w:val="24"/>
          <w:rtl/>
        </w:rPr>
        <w:t xml:space="preserve"> הוא נחשב כשומר שכר</w:t>
      </w:r>
    </w:p>
    <w:p w:rsidR="008A70C5" w:rsidRDefault="008A70C5">
      <w:pPr>
        <w:rPr>
          <w:sz w:val="24"/>
          <w:szCs w:val="24"/>
          <w:rtl/>
        </w:rPr>
      </w:pPr>
      <w:r>
        <w:rPr>
          <w:rFonts w:hint="cs"/>
          <w:sz w:val="24"/>
          <w:szCs w:val="24"/>
          <w:rtl/>
        </w:rPr>
        <w:t xml:space="preserve">מספר טעמים נאמרו מדוע </w:t>
      </w:r>
      <w:r w:rsidR="00FE290C">
        <w:rPr>
          <w:rFonts w:hint="cs"/>
          <w:sz w:val="24"/>
          <w:szCs w:val="24"/>
          <w:rtl/>
        </w:rPr>
        <w:t>שעבוד התורה יוצר חיוב של שומר שכר</w:t>
      </w:r>
    </w:p>
    <w:p w:rsidR="00FE290C" w:rsidRDefault="00FE290C" w:rsidP="00FE290C">
      <w:pPr>
        <w:rPr>
          <w:b/>
          <w:bCs/>
          <w:sz w:val="24"/>
          <w:szCs w:val="24"/>
          <w:rtl/>
        </w:rPr>
      </w:pPr>
      <w:r>
        <w:rPr>
          <w:rFonts w:hint="cs"/>
          <w:sz w:val="24"/>
          <w:szCs w:val="24"/>
          <w:rtl/>
        </w:rPr>
        <w:t xml:space="preserve">1. עיקר דין שומר זה על פי הכללים של שומר שכר. אלא שהתורה הקלה בגניבה </w:t>
      </w:r>
      <w:proofErr w:type="spellStart"/>
      <w:r>
        <w:rPr>
          <w:rFonts w:hint="cs"/>
          <w:sz w:val="24"/>
          <w:szCs w:val="24"/>
          <w:rtl/>
        </w:rPr>
        <w:t>ואבידה</w:t>
      </w:r>
      <w:proofErr w:type="spellEnd"/>
      <w:r>
        <w:rPr>
          <w:rFonts w:hint="cs"/>
          <w:sz w:val="24"/>
          <w:szCs w:val="24"/>
          <w:rtl/>
        </w:rPr>
        <w:t xml:space="preserve"> אצל שומר חנם. ממילא כאשר התורה החלה שעבוד על שומר אבדה היא החלה עליו את הדינים של עיקר השמירה , דהיינו דיני שומר שכר </w:t>
      </w:r>
      <w:r>
        <w:rPr>
          <w:rFonts w:hint="cs"/>
          <w:b/>
          <w:bCs/>
          <w:sz w:val="24"/>
          <w:szCs w:val="24"/>
          <w:rtl/>
        </w:rPr>
        <w:t>(שיעורי ר' דוד)</w:t>
      </w:r>
    </w:p>
    <w:p w:rsidR="00FE290C" w:rsidRPr="00FE290C" w:rsidRDefault="00FE290C" w:rsidP="00FE290C">
      <w:pPr>
        <w:rPr>
          <w:b/>
          <w:bCs/>
          <w:sz w:val="24"/>
          <w:szCs w:val="24"/>
          <w:rtl/>
        </w:rPr>
      </w:pPr>
      <w:r>
        <w:rPr>
          <w:rFonts w:hint="cs"/>
          <w:b/>
          <w:bCs/>
          <w:sz w:val="24"/>
          <w:szCs w:val="24"/>
          <w:rtl/>
        </w:rPr>
        <w:t xml:space="preserve">2. </w:t>
      </w:r>
      <w:r>
        <w:rPr>
          <w:rFonts w:hint="cs"/>
          <w:sz w:val="24"/>
          <w:szCs w:val="24"/>
          <w:rtl/>
        </w:rPr>
        <w:t xml:space="preserve">שומר שכר דינו חמור יותר כי יש דבר שמשעבד אותו לשמירה מעולה והוא הכסף שהוא מקבל , ובשומר אבדה ציווי התורה הוא יוצר את השעבוד ולכן משתעבד לשמירה מעולה </w:t>
      </w:r>
      <w:r>
        <w:rPr>
          <w:rFonts w:hint="cs"/>
          <w:b/>
          <w:bCs/>
          <w:sz w:val="24"/>
          <w:szCs w:val="24"/>
          <w:rtl/>
        </w:rPr>
        <w:t>(שם)</w:t>
      </w:r>
    </w:p>
    <w:p w:rsidR="00FE290C" w:rsidRDefault="00FE290C" w:rsidP="00FE290C">
      <w:pPr>
        <w:rPr>
          <w:b/>
          <w:bCs/>
          <w:sz w:val="24"/>
          <w:szCs w:val="24"/>
          <w:rtl/>
        </w:rPr>
      </w:pPr>
      <w:r>
        <w:rPr>
          <w:rFonts w:hint="cs"/>
          <w:sz w:val="24"/>
          <w:szCs w:val="24"/>
          <w:rtl/>
        </w:rPr>
        <w:t xml:space="preserve">3. שומר שכר חייב לטפל </w:t>
      </w:r>
      <w:proofErr w:type="spellStart"/>
      <w:r>
        <w:rPr>
          <w:rFonts w:hint="cs"/>
          <w:sz w:val="24"/>
          <w:szCs w:val="24"/>
          <w:rtl/>
        </w:rPr>
        <w:t>בפקדון</w:t>
      </w:r>
      <w:proofErr w:type="spellEnd"/>
      <w:r>
        <w:rPr>
          <w:rFonts w:hint="cs"/>
          <w:sz w:val="24"/>
          <w:szCs w:val="24"/>
          <w:rtl/>
        </w:rPr>
        <w:t xml:space="preserve"> שהופקד אצלו כל שעות היממה (ולכן נחשב כעבד ויכול לחזור בו אפילו בחצי היום  משום "עבדי הם...) ללא הפסקה. גם שומר אבדה , התורה </w:t>
      </w:r>
      <w:r>
        <w:rPr>
          <w:rFonts w:hint="cs"/>
          <w:sz w:val="24"/>
          <w:szCs w:val="24"/>
          <w:rtl/>
        </w:rPr>
        <w:lastRenderedPageBreak/>
        <w:t xml:space="preserve">ציוותה עליו לטפל </w:t>
      </w:r>
      <w:proofErr w:type="spellStart"/>
      <w:r>
        <w:rPr>
          <w:rFonts w:hint="cs"/>
          <w:sz w:val="24"/>
          <w:szCs w:val="24"/>
          <w:rtl/>
        </w:rPr>
        <w:t>באבידה</w:t>
      </w:r>
      <w:proofErr w:type="spellEnd"/>
      <w:r>
        <w:rPr>
          <w:rFonts w:hint="cs"/>
          <w:sz w:val="24"/>
          <w:szCs w:val="24"/>
          <w:rtl/>
        </w:rPr>
        <w:t xml:space="preserve"> כל הזמן (לדוגמא: בעלי חיים שעושים ואוכלים, כסות מנערה לצורכה וכו') ולכן דינו מקביל לשומר שכר </w:t>
      </w:r>
      <w:r>
        <w:rPr>
          <w:rFonts w:hint="cs"/>
          <w:b/>
          <w:bCs/>
          <w:sz w:val="24"/>
          <w:szCs w:val="24"/>
          <w:rtl/>
        </w:rPr>
        <w:t>(אור שמח , הלכות שכירות פ"י, ה"א)</w:t>
      </w:r>
    </w:p>
    <w:p w:rsidR="00E567A4" w:rsidRDefault="00E567A4" w:rsidP="00FE290C">
      <w:pPr>
        <w:rPr>
          <w:sz w:val="24"/>
          <w:szCs w:val="24"/>
          <w:rtl/>
        </w:rPr>
      </w:pPr>
      <w:r>
        <w:rPr>
          <w:rFonts w:hint="cs"/>
          <w:sz w:val="24"/>
          <w:szCs w:val="24"/>
          <w:rtl/>
        </w:rPr>
        <w:t>וכאן יש לציי</w:t>
      </w:r>
      <w:r w:rsidR="006262EF">
        <w:rPr>
          <w:rFonts w:hint="cs"/>
          <w:sz w:val="24"/>
          <w:szCs w:val="24"/>
          <w:rtl/>
        </w:rPr>
        <w:t xml:space="preserve">ן הערה מדהימה של רבינו האור שמח לגבי הטעם השני לדברי רב יוסף: </w:t>
      </w:r>
    </w:p>
    <w:p w:rsidR="00E567A4" w:rsidRDefault="006262EF" w:rsidP="006262EF">
      <w:pPr>
        <w:rPr>
          <w:b/>
          <w:bCs/>
          <w:sz w:val="24"/>
          <w:szCs w:val="24"/>
          <w:rtl/>
        </w:rPr>
      </w:pPr>
      <w:r w:rsidRPr="006262EF">
        <w:rPr>
          <w:rFonts w:cs="Arial"/>
          <w:b/>
          <w:bCs/>
          <w:sz w:val="24"/>
          <w:szCs w:val="24"/>
          <w:rtl/>
        </w:rPr>
        <w:t xml:space="preserve">וכפי הנראה שהיא הוספה מגאונים שאחר חתימת </w:t>
      </w:r>
      <w:proofErr w:type="spellStart"/>
      <w:r w:rsidRPr="006262EF">
        <w:rPr>
          <w:rFonts w:cs="Arial"/>
          <w:b/>
          <w:bCs/>
          <w:sz w:val="24"/>
          <w:szCs w:val="24"/>
          <w:rtl/>
        </w:rPr>
        <w:t>הש"ס</w:t>
      </w:r>
      <w:proofErr w:type="spellEnd"/>
      <w:r w:rsidR="002A6B42">
        <w:rPr>
          <w:rStyle w:val="a5"/>
          <w:b/>
          <w:bCs/>
          <w:sz w:val="24"/>
          <w:szCs w:val="24"/>
          <w:rtl/>
        </w:rPr>
        <w:footnoteReference w:id="2"/>
      </w:r>
    </w:p>
    <w:p w:rsidR="006262EF" w:rsidRDefault="006262EF" w:rsidP="00E26E9A">
      <w:pPr>
        <w:rPr>
          <w:sz w:val="24"/>
          <w:szCs w:val="24"/>
          <w:rtl/>
        </w:rPr>
      </w:pPr>
      <w:r>
        <w:rPr>
          <w:rFonts w:hint="cs"/>
          <w:sz w:val="24"/>
          <w:szCs w:val="24"/>
          <w:rtl/>
        </w:rPr>
        <w:t>לכן מסביר האור שמח , במקבילות של הסוגיה בש"ס מתקדמ</w:t>
      </w:r>
      <w:r w:rsidR="00E26E9A">
        <w:rPr>
          <w:rFonts w:hint="cs"/>
          <w:sz w:val="24"/>
          <w:szCs w:val="24"/>
          <w:rtl/>
        </w:rPr>
        <w:t xml:space="preserve">ת </w:t>
      </w:r>
      <w:proofErr w:type="spellStart"/>
      <w:r w:rsidR="00E26E9A">
        <w:rPr>
          <w:rFonts w:hint="cs"/>
          <w:sz w:val="24"/>
          <w:szCs w:val="24"/>
          <w:rtl/>
        </w:rPr>
        <w:t>הגגמרא</w:t>
      </w:r>
      <w:proofErr w:type="spellEnd"/>
      <w:r w:rsidR="00E26E9A">
        <w:rPr>
          <w:rFonts w:hint="cs"/>
          <w:sz w:val="24"/>
          <w:szCs w:val="24"/>
          <w:rtl/>
        </w:rPr>
        <w:t xml:space="preserve"> </w:t>
      </w:r>
      <w:r>
        <w:rPr>
          <w:rFonts w:hint="cs"/>
          <w:sz w:val="24"/>
          <w:szCs w:val="24"/>
          <w:rtl/>
        </w:rPr>
        <w:t>עם ההסבר הראשון</w:t>
      </w:r>
      <w:r w:rsidR="00E26E9A">
        <w:rPr>
          <w:rFonts w:hint="cs"/>
          <w:sz w:val="24"/>
          <w:szCs w:val="24"/>
          <w:rtl/>
        </w:rPr>
        <w:t xml:space="preserve"> בלבד  </w:t>
      </w:r>
      <w:r>
        <w:rPr>
          <w:rFonts w:hint="cs"/>
          <w:sz w:val="24"/>
          <w:szCs w:val="24"/>
          <w:rtl/>
        </w:rPr>
        <w:t xml:space="preserve"> בדעת רב יוסף (פרוטה </w:t>
      </w:r>
      <w:proofErr w:type="spellStart"/>
      <w:r>
        <w:rPr>
          <w:rFonts w:hint="cs"/>
          <w:sz w:val="24"/>
          <w:szCs w:val="24"/>
          <w:rtl/>
        </w:rPr>
        <w:t>דרב</w:t>
      </w:r>
      <w:proofErr w:type="spellEnd"/>
      <w:r>
        <w:rPr>
          <w:rFonts w:hint="cs"/>
          <w:sz w:val="24"/>
          <w:szCs w:val="24"/>
          <w:rtl/>
        </w:rPr>
        <w:t xml:space="preserve"> יוסף) מאחר שזהו הסבר מקורי של הגמרא בעוד שההסבר השני נכתב בתקופה מאוחרת יותר. </w:t>
      </w:r>
    </w:p>
    <w:p w:rsidR="00AC6C66" w:rsidRDefault="00AC6C66" w:rsidP="00E26E9A">
      <w:pPr>
        <w:rPr>
          <w:sz w:val="24"/>
          <w:szCs w:val="24"/>
          <w:rtl/>
        </w:rPr>
      </w:pPr>
      <w:r>
        <w:rPr>
          <w:rFonts w:hint="cs"/>
          <w:sz w:val="24"/>
          <w:szCs w:val="24"/>
          <w:rtl/>
        </w:rPr>
        <w:t xml:space="preserve">וכן המעיין </w:t>
      </w:r>
      <w:proofErr w:type="spellStart"/>
      <w:r>
        <w:rPr>
          <w:rFonts w:hint="cs"/>
          <w:sz w:val="24"/>
          <w:szCs w:val="24"/>
          <w:rtl/>
        </w:rPr>
        <w:t>ברי"ף</w:t>
      </w:r>
      <w:proofErr w:type="spellEnd"/>
      <w:r>
        <w:rPr>
          <w:rFonts w:hint="cs"/>
          <w:sz w:val="24"/>
          <w:szCs w:val="24"/>
          <w:rtl/>
        </w:rPr>
        <w:t xml:space="preserve">, ברמב"ם </w:t>
      </w:r>
      <w:proofErr w:type="spellStart"/>
      <w:r>
        <w:rPr>
          <w:rFonts w:hint="cs"/>
          <w:sz w:val="24"/>
          <w:szCs w:val="24"/>
          <w:rtl/>
        </w:rPr>
        <w:t>וברא"ש</w:t>
      </w:r>
      <w:proofErr w:type="spellEnd"/>
      <w:r>
        <w:rPr>
          <w:rFonts w:hint="cs"/>
          <w:sz w:val="24"/>
          <w:szCs w:val="24"/>
          <w:rtl/>
        </w:rPr>
        <w:t xml:space="preserve"> רואה כי לא הזכירו כלל את הנימוק השני אלא רק את הנימוק הראשון שפטור שומר האבדה מלקיים מצווה אחרת בעת שמירת </w:t>
      </w:r>
      <w:proofErr w:type="spellStart"/>
      <w:r>
        <w:rPr>
          <w:rFonts w:hint="cs"/>
          <w:sz w:val="24"/>
          <w:szCs w:val="24"/>
          <w:rtl/>
        </w:rPr>
        <w:t>האבידה</w:t>
      </w:r>
      <w:proofErr w:type="spellEnd"/>
      <w:r>
        <w:rPr>
          <w:rFonts w:hint="cs"/>
          <w:sz w:val="24"/>
          <w:szCs w:val="24"/>
          <w:rtl/>
        </w:rPr>
        <w:t xml:space="preserve">. </w:t>
      </w:r>
    </w:p>
    <w:p w:rsidR="00434D0D" w:rsidRDefault="00434D0D" w:rsidP="00434D0D">
      <w:pPr>
        <w:rPr>
          <w:sz w:val="24"/>
          <w:szCs w:val="24"/>
          <w:rtl/>
        </w:rPr>
      </w:pPr>
      <w:r>
        <w:rPr>
          <w:rFonts w:hint="cs"/>
          <w:sz w:val="24"/>
          <w:szCs w:val="24"/>
          <w:rtl/>
        </w:rPr>
        <w:t xml:space="preserve">וחשבתי , לכאורה מה ראו הגאונים להוסיף טעם נוסף , מאחר שכבר הביאה הגמרא טעם אחד? אלא יש לומר כי היה קשה לגאונים על הטעם הראשון הקושיה שהקשה בנחלת יעקב , הרי העוסק המצווה פטור מן המצווה של שייך בכלל במצוות צדקה ואם כן שומר </w:t>
      </w:r>
      <w:proofErr w:type="spellStart"/>
      <w:r>
        <w:rPr>
          <w:rFonts w:hint="cs"/>
          <w:sz w:val="24"/>
          <w:szCs w:val="24"/>
          <w:rtl/>
        </w:rPr>
        <w:t>אבידה</w:t>
      </w:r>
      <w:proofErr w:type="spellEnd"/>
      <w:r>
        <w:rPr>
          <w:rFonts w:hint="cs"/>
          <w:sz w:val="24"/>
          <w:szCs w:val="24"/>
          <w:rtl/>
        </w:rPr>
        <w:t xml:space="preserve"> לא פור </w:t>
      </w:r>
      <w:proofErr w:type="spellStart"/>
      <w:r>
        <w:rPr>
          <w:rFonts w:hint="cs"/>
          <w:sz w:val="24"/>
          <w:szCs w:val="24"/>
          <w:rtl/>
        </w:rPr>
        <w:t>נפשיה</w:t>
      </w:r>
      <w:proofErr w:type="spellEnd"/>
      <w:r>
        <w:rPr>
          <w:rFonts w:hint="cs"/>
          <w:sz w:val="24"/>
          <w:szCs w:val="24"/>
          <w:rtl/>
        </w:rPr>
        <w:t xml:space="preserve"> מלתת צדקה לעני, ולכן הביאו טעם שני לדעת רב יוסף. </w:t>
      </w:r>
    </w:p>
    <w:p w:rsidR="00E26E9A" w:rsidRPr="006262EF" w:rsidRDefault="00E26E9A" w:rsidP="00E26E9A">
      <w:pPr>
        <w:rPr>
          <w:sz w:val="24"/>
          <w:szCs w:val="24"/>
          <w:rtl/>
        </w:rPr>
      </w:pPr>
    </w:p>
    <w:sectPr w:rsidR="00E26E9A" w:rsidRPr="006262EF" w:rsidSect="00905C59">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60CE" w:rsidRDefault="002F60CE" w:rsidP="00FE290C">
      <w:pPr>
        <w:spacing w:after="0" w:line="240" w:lineRule="auto"/>
      </w:pPr>
      <w:r>
        <w:separator/>
      </w:r>
    </w:p>
  </w:endnote>
  <w:endnote w:type="continuationSeparator" w:id="0">
    <w:p w:rsidR="002F60CE" w:rsidRDefault="002F60CE" w:rsidP="00FE29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60CE" w:rsidRDefault="002F60CE" w:rsidP="00FE290C">
      <w:pPr>
        <w:spacing w:after="0" w:line="240" w:lineRule="auto"/>
      </w:pPr>
      <w:r>
        <w:separator/>
      </w:r>
    </w:p>
  </w:footnote>
  <w:footnote w:type="continuationSeparator" w:id="0">
    <w:p w:rsidR="002F60CE" w:rsidRDefault="002F60CE" w:rsidP="00FE290C">
      <w:pPr>
        <w:spacing w:after="0" w:line="240" w:lineRule="auto"/>
      </w:pPr>
      <w:r>
        <w:continuationSeparator/>
      </w:r>
    </w:p>
  </w:footnote>
  <w:footnote w:id="1">
    <w:p w:rsidR="00FE290C" w:rsidRDefault="00FE290C">
      <w:pPr>
        <w:pStyle w:val="a3"/>
      </w:pPr>
      <w:r>
        <w:rPr>
          <w:rStyle w:val="a5"/>
        </w:rPr>
        <w:footnoteRef/>
      </w:r>
      <w:r>
        <w:rPr>
          <w:rtl/>
        </w:rPr>
        <w:t xml:space="preserve"> </w:t>
      </w:r>
      <w:r>
        <w:rPr>
          <w:rFonts w:hint="cs"/>
          <w:rtl/>
        </w:rPr>
        <w:t>שהרי בגמרא בברכות לומדים שזאת מהפסוק "בשבתך בביתך ובלכתך בדרך"</w:t>
      </w:r>
    </w:p>
  </w:footnote>
  <w:footnote w:id="2">
    <w:p w:rsidR="002A6B42" w:rsidRDefault="002A6B42">
      <w:pPr>
        <w:pStyle w:val="a3"/>
        <w:rPr>
          <w:rtl/>
        </w:rPr>
      </w:pPr>
      <w:r>
        <w:rPr>
          <w:rStyle w:val="a5"/>
        </w:rPr>
        <w:footnoteRef/>
      </w:r>
      <w:r>
        <w:rPr>
          <w:rtl/>
        </w:rPr>
        <w:t xml:space="preserve"> </w:t>
      </w:r>
      <w:r>
        <w:rPr>
          <w:rFonts w:hint="cs"/>
          <w:rtl/>
        </w:rPr>
        <w:t xml:space="preserve">יש להעיר כי גם הלשון שמביאה את ההסבר השני היא לשון חריגה בתלמוד הבבלי: </w:t>
      </w:r>
      <w:proofErr w:type="spellStart"/>
      <w:r>
        <w:rPr>
          <w:rFonts w:hint="cs"/>
          <w:rtl/>
        </w:rPr>
        <w:t>אית</w:t>
      </w:r>
      <w:proofErr w:type="spellEnd"/>
      <w:r>
        <w:rPr>
          <w:rFonts w:hint="cs"/>
          <w:rtl/>
        </w:rPr>
        <w:t xml:space="preserve"> </w:t>
      </w:r>
      <w:proofErr w:type="spellStart"/>
      <w:r>
        <w:rPr>
          <w:rFonts w:hint="cs"/>
          <w:rtl/>
        </w:rPr>
        <w:t>דמםרשי</w:t>
      </w:r>
      <w:proofErr w:type="spellEnd"/>
      <w:r>
        <w:rPr>
          <w:rFonts w:hint="cs"/>
          <w:rtl/>
        </w:rPr>
        <w:t xml:space="preserve"> הכי....</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79B"/>
    <w:rsid w:val="0011479B"/>
    <w:rsid w:val="001A5D48"/>
    <w:rsid w:val="001C79C3"/>
    <w:rsid w:val="001E115C"/>
    <w:rsid w:val="002A6B42"/>
    <w:rsid w:val="002F60CE"/>
    <w:rsid w:val="00434D0D"/>
    <w:rsid w:val="00520101"/>
    <w:rsid w:val="006262EF"/>
    <w:rsid w:val="00731E96"/>
    <w:rsid w:val="007914D6"/>
    <w:rsid w:val="008A70C5"/>
    <w:rsid w:val="00905C59"/>
    <w:rsid w:val="00A1353F"/>
    <w:rsid w:val="00AC6C66"/>
    <w:rsid w:val="00BB545D"/>
    <w:rsid w:val="00BE3CE0"/>
    <w:rsid w:val="00C8446C"/>
    <w:rsid w:val="00E26E9A"/>
    <w:rsid w:val="00E567A4"/>
    <w:rsid w:val="00FE290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E23B4"/>
  <w15:chartTrackingRefBased/>
  <w15:docId w15:val="{96A2F96A-2AEB-4C7C-989C-186B00476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FE290C"/>
    <w:pPr>
      <w:spacing w:after="0" w:line="240" w:lineRule="auto"/>
    </w:pPr>
    <w:rPr>
      <w:sz w:val="20"/>
      <w:szCs w:val="20"/>
    </w:rPr>
  </w:style>
  <w:style w:type="character" w:customStyle="1" w:styleId="a4">
    <w:name w:val="טקסט הערת שוליים תו"/>
    <w:basedOn w:val="a0"/>
    <w:link w:val="a3"/>
    <w:uiPriority w:val="99"/>
    <w:semiHidden/>
    <w:rsid w:val="00FE290C"/>
    <w:rPr>
      <w:sz w:val="20"/>
      <w:szCs w:val="20"/>
    </w:rPr>
  </w:style>
  <w:style w:type="character" w:styleId="a5">
    <w:name w:val="footnote reference"/>
    <w:basedOn w:val="a0"/>
    <w:uiPriority w:val="99"/>
    <w:semiHidden/>
    <w:unhideWhenUsed/>
    <w:rsid w:val="00FE290C"/>
    <w:rPr>
      <w:vertAlign w:val="superscript"/>
    </w:rPr>
  </w:style>
  <w:style w:type="paragraph" w:styleId="a6">
    <w:name w:val="Balloon Text"/>
    <w:basedOn w:val="a"/>
    <w:link w:val="a7"/>
    <w:uiPriority w:val="99"/>
    <w:semiHidden/>
    <w:unhideWhenUsed/>
    <w:rsid w:val="00BE3CE0"/>
    <w:pPr>
      <w:spacing w:after="0" w:line="240" w:lineRule="auto"/>
    </w:pPr>
    <w:rPr>
      <w:rFonts w:ascii="Tahoma" w:hAnsi="Tahoma" w:cs="Tahoma"/>
      <w:sz w:val="18"/>
      <w:szCs w:val="18"/>
    </w:rPr>
  </w:style>
  <w:style w:type="character" w:customStyle="1" w:styleId="a7">
    <w:name w:val="טקסט בלונים תו"/>
    <w:basedOn w:val="a0"/>
    <w:link w:val="a6"/>
    <w:uiPriority w:val="99"/>
    <w:semiHidden/>
    <w:rsid w:val="00BE3CE0"/>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96FB2C-2D42-45F3-87E1-8B3063D87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2</Pages>
  <Words>513</Words>
  <Characters>2566</Characters>
  <Application>Microsoft Office Word</Application>
  <DocSecurity>0</DocSecurity>
  <Lines>21</Lines>
  <Paragraphs>6</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33</cp:revision>
  <cp:lastPrinted>2023-08-14T08:23:00Z</cp:lastPrinted>
  <dcterms:created xsi:type="dcterms:W3CDTF">2023-08-14T06:52:00Z</dcterms:created>
  <dcterms:modified xsi:type="dcterms:W3CDTF">2023-10-15T18:45:00Z</dcterms:modified>
</cp:coreProperties>
</file>