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5F" w:rsidRDefault="00471DE8">
      <w:pPr>
        <w:rPr>
          <w:sz w:val="24"/>
          <w:szCs w:val="24"/>
          <w:rtl/>
        </w:rPr>
      </w:pPr>
      <w:r>
        <w:rPr>
          <w:rFonts w:hint="cs"/>
          <w:rtl/>
        </w:rPr>
        <w:t>בס"ד</w:t>
      </w:r>
    </w:p>
    <w:p w:rsidR="00471DE8" w:rsidRDefault="00471DE8" w:rsidP="00D1339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D1339D">
        <w:rPr>
          <w:rFonts w:hint="cs"/>
          <w:sz w:val="24"/>
          <w:szCs w:val="24"/>
          <w:rtl/>
        </w:rPr>
        <w:t xml:space="preserve">                       </w:t>
      </w:r>
      <w:r w:rsidRPr="00471DE8">
        <w:rPr>
          <w:rFonts w:hint="cs"/>
          <w:b/>
          <w:bCs/>
          <w:sz w:val="28"/>
          <w:szCs w:val="28"/>
          <w:rtl/>
        </w:rPr>
        <w:t xml:space="preserve">לבעלי </w:t>
      </w:r>
      <w:proofErr w:type="spellStart"/>
      <w:r w:rsidRPr="00471DE8">
        <w:rPr>
          <w:rFonts w:hint="cs"/>
          <w:b/>
          <w:bCs/>
          <w:sz w:val="28"/>
          <w:szCs w:val="28"/>
          <w:rtl/>
        </w:rPr>
        <w:t>מומין</w:t>
      </w:r>
      <w:proofErr w:type="spellEnd"/>
      <w:r w:rsidRPr="00471DE8">
        <w:rPr>
          <w:rFonts w:hint="cs"/>
          <w:b/>
          <w:bCs/>
          <w:sz w:val="28"/>
          <w:szCs w:val="28"/>
          <w:rtl/>
        </w:rPr>
        <w:t xml:space="preserve"> טהורים שבאותו משמר</w:t>
      </w:r>
      <w:r w:rsidR="00D1339D">
        <w:rPr>
          <w:rFonts w:hint="cs"/>
          <w:b/>
          <w:bCs/>
          <w:sz w:val="28"/>
          <w:szCs w:val="28"/>
          <w:rtl/>
        </w:rPr>
        <w:t>- דף קי, א</w:t>
      </w:r>
    </w:p>
    <w:p w:rsidR="00D1339D" w:rsidRPr="00471DE8" w:rsidRDefault="00D1339D" w:rsidP="00D1339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bookmarkStart w:id="0" w:name="_GoBack"/>
      <w:bookmarkEnd w:id="0"/>
      <w:r>
        <w:rPr>
          <w:rFonts w:cs="Arial"/>
          <w:b/>
          <w:bCs/>
          <w:sz w:val="24"/>
          <w:szCs w:val="24"/>
          <w:rtl/>
        </w:rPr>
        <w:t>הרב משה חיים הר-נוי</w:t>
      </w:r>
    </w:p>
    <w:p w:rsidR="00471DE8" w:rsidRDefault="00471DE8" w:rsidP="00471D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בגמרא </w:t>
      </w:r>
      <w:r w:rsidRPr="00323EF6">
        <w:rPr>
          <w:rFonts w:hint="cs"/>
          <w:b/>
          <w:bCs/>
          <w:sz w:val="24"/>
          <w:szCs w:val="24"/>
          <w:rtl/>
        </w:rPr>
        <w:t>בבא קמא (קי, א)</w:t>
      </w:r>
      <w:r>
        <w:rPr>
          <w:rFonts w:hint="cs"/>
          <w:sz w:val="24"/>
          <w:szCs w:val="24"/>
          <w:rtl/>
        </w:rPr>
        <w:t xml:space="preserve"> כותבת כי  כהן השייך למשמר של אותו שבוע והוא טמא , אם מדובר בקורבן ציבור (שמותר להקריבו בטומאה) יכול לתת את זכות ההקרבה לכל כהן שירצה ואילו את בשר הקורבן והעור נותן לאנשי המשמר .</w:t>
      </w:r>
    </w:p>
    <w:p w:rsidR="00471DE8" w:rsidRDefault="00471DE8" w:rsidP="00471D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רבא מסביר את דברי </w:t>
      </w:r>
      <w:proofErr w:type="spellStart"/>
      <w:r>
        <w:rPr>
          <w:rFonts w:hint="cs"/>
          <w:sz w:val="24"/>
          <w:szCs w:val="24"/>
          <w:rtl/>
        </w:rPr>
        <w:t>הגמ</w:t>
      </w:r>
      <w:proofErr w:type="spellEnd"/>
      <w:r>
        <w:rPr>
          <w:rFonts w:hint="cs"/>
          <w:sz w:val="24"/>
          <w:szCs w:val="24"/>
          <w:rtl/>
        </w:rPr>
        <w:t xml:space="preserve">' שמדובר שיש באותו משמר בעלי </w:t>
      </w:r>
      <w:proofErr w:type="spellStart"/>
      <w:r>
        <w:rPr>
          <w:rFonts w:hint="cs"/>
          <w:sz w:val="24"/>
          <w:szCs w:val="24"/>
          <w:rtl/>
        </w:rPr>
        <w:t>מומין</w:t>
      </w:r>
      <w:proofErr w:type="spellEnd"/>
      <w:r>
        <w:rPr>
          <w:rFonts w:hint="cs"/>
          <w:sz w:val="24"/>
          <w:szCs w:val="24"/>
          <w:rtl/>
        </w:rPr>
        <w:t xml:space="preserve"> טהורים שאינם יכולים להקריב אך יכולים לאכול מהקורבן (ריבוי בפסוקים המדברים על אכילת קורבנות)  ולכן יקריבו כהני המשמר הטמאים ובעלי </w:t>
      </w:r>
      <w:proofErr w:type="spellStart"/>
      <w:r>
        <w:rPr>
          <w:rFonts w:hint="cs"/>
          <w:sz w:val="24"/>
          <w:szCs w:val="24"/>
          <w:rtl/>
        </w:rPr>
        <w:t>המומין</w:t>
      </w:r>
      <w:proofErr w:type="spellEnd"/>
      <w:r>
        <w:rPr>
          <w:rFonts w:hint="cs"/>
          <w:sz w:val="24"/>
          <w:szCs w:val="24"/>
          <w:rtl/>
        </w:rPr>
        <w:t xml:space="preserve"> הטהורים יאכלו את הבשר ויזכו בעור .</w:t>
      </w:r>
    </w:p>
    <w:p w:rsidR="00AB43F7" w:rsidRDefault="00AB43F7" w:rsidP="00471DE8">
      <w:pPr>
        <w:rPr>
          <w:sz w:val="24"/>
          <w:szCs w:val="24"/>
          <w:rtl/>
        </w:rPr>
      </w:pPr>
      <w:r w:rsidRPr="0029696F">
        <w:rPr>
          <w:rFonts w:hint="cs"/>
          <w:b/>
          <w:bCs/>
          <w:sz w:val="24"/>
          <w:szCs w:val="24"/>
          <w:rtl/>
        </w:rPr>
        <w:t>התוספות</w:t>
      </w:r>
      <w:r>
        <w:rPr>
          <w:rFonts w:hint="cs"/>
          <w:sz w:val="24"/>
          <w:szCs w:val="24"/>
          <w:rtl/>
        </w:rPr>
        <w:t xml:space="preserve"> מקשים </w:t>
      </w:r>
      <w:proofErr w:type="spellStart"/>
      <w:r>
        <w:rPr>
          <w:rFonts w:hint="cs"/>
          <w:sz w:val="24"/>
          <w:szCs w:val="24"/>
          <w:rtl/>
        </w:rPr>
        <w:t>בשלמא</w:t>
      </w:r>
      <w:proofErr w:type="spellEnd"/>
      <w:r>
        <w:rPr>
          <w:rFonts w:hint="cs"/>
          <w:sz w:val="24"/>
          <w:szCs w:val="24"/>
          <w:rtl/>
        </w:rPr>
        <w:t xml:space="preserve"> לאכול את הקורבן לא יכולים </w:t>
      </w:r>
      <w:proofErr w:type="spellStart"/>
      <w:r>
        <w:rPr>
          <w:rFonts w:hint="cs"/>
          <w:sz w:val="24"/>
          <w:szCs w:val="24"/>
          <w:rtl/>
        </w:rPr>
        <w:t>הכהנים</w:t>
      </w:r>
      <w:proofErr w:type="spellEnd"/>
      <w:r>
        <w:rPr>
          <w:rFonts w:hint="cs"/>
          <w:sz w:val="24"/>
          <w:szCs w:val="24"/>
          <w:rtl/>
        </w:rPr>
        <w:t xml:space="preserve"> הטמאים במשמר ולכן יאכלו בעלי </w:t>
      </w:r>
      <w:proofErr w:type="spellStart"/>
      <w:r>
        <w:rPr>
          <w:rFonts w:hint="cs"/>
          <w:sz w:val="24"/>
          <w:szCs w:val="24"/>
          <w:rtl/>
        </w:rPr>
        <w:t>המומין</w:t>
      </w:r>
      <w:proofErr w:type="spellEnd"/>
      <w:r>
        <w:rPr>
          <w:rFonts w:hint="cs"/>
          <w:sz w:val="24"/>
          <w:szCs w:val="24"/>
          <w:rtl/>
        </w:rPr>
        <w:t xml:space="preserve"> הטהורים, אך מדוע שלא יזכו </w:t>
      </w:r>
      <w:proofErr w:type="spellStart"/>
      <w:r>
        <w:rPr>
          <w:rFonts w:hint="cs"/>
          <w:sz w:val="24"/>
          <w:szCs w:val="24"/>
          <w:rtl/>
        </w:rPr>
        <w:t>הכהנים</w:t>
      </w:r>
      <w:proofErr w:type="spellEnd"/>
      <w:r>
        <w:rPr>
          <w:rFonts w:hint="cs"/>
          <w:sz w:val="24"/>
          <w:szCs w:val="24"/>
          <w:rtl/>
        </w:rPr>
        <w:t xml:space="preserve"> הטמאים שהקריבו את הקורבן, בעור של הבהמה? ואינם משיבים על תמיהתם. </w:t>
      </w:r>
    </w:p>
    <w:p w:rsidR="0029696F" w:rsidRDefault="002C409A" w:rsidP="00471DE8">
      <w:pPr>
        <w:rPr>
          <w:sz w:val="24"/>
          <w:szCs w:val="24"/>
          <w:rtl/>
        </w:rPr>
      </w:pPr>
      <w:proofErr w:type="spellStart"/>
      <w:r w:rsidRPr="002C409A">
        <w:rPr>
          <w:rFonts w:hint="cs"/>
          <w:b/>
          <w:bCs/>
          <w:sz w:val="24"/>
          <w:szCs w:val="24"/>
          <w:rtl/>
        </w:rPr>
        <w:t>המהרש"א</w:t>
      </w:r>
      <w:proofErr w:type="spellEnd"/>
      <w:r>
        <w:rPr>
          <w:rFonts w:hint="cs"/>
          <w:sz w:val="24"/>
          <w:szCs w:val="24"/>
          <w:rtl/>
        </w:rPr>
        <w:t xml:space="preserve"> מחדד את שאלת התוספות. את העור אפשר לחלק בין </w:t>
      </w:r>
      <w:r>
        <w:rPr>
          <w:rFonts w:hint="cs"/>
          <w:b/>
          <w:bCs/>
          <w:sz w:val="24"/>
          <w:szCs w:val="24"/>
          <w:rtl/>
        </w:rPr>
        <w:t>כל אנשי משמר</w:t>
      </w:r>
      <w:r>
        <w:rPr>
          <w:rFonts w:hint="cs"/>
          <w:sz w:val="24"/>
          <w:szCs w:val="24"/>
          <w:rtl/>
        </w:rPr>
        <w:t xml:space="preserve"> הטמאים והטהורים ואילו את הבשר יאכלו רק בעלי </w:t>
      </w:r>
      <w:proofErr w:type="spellStart"/>
      <w:r>
        <w:rPr>
          <w:rFonts w:hint="cs"/>
          <w:sz w:val="24"/>
          <w:szCs w:val="24"/>
          <w:rtl/>
        </w:rPr>
        <w:t>המומין</w:t>
      </w:r>
      <w:proofErr w:type="spellEnd"/>
      <w:r>
        <w:rPr>
          <w:rFonts w:hint="cs"/>
          <w:sz w:val="24"/>
          <w:szCs w:val="24"/>
          <w:rtl/>
        </w:rPr>
        <w:t xml:space="preserve"> הטהורים. </w:t>
      </w:r>
    </w:p>
    <w:p w:rsidR="002C409A" w:rsidRDefault="002C409A" w:rsidP="00855F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בספר </w:t>
      </w:r>
      <w:r w:rsidRPr="002C409A">
        <w:rPr>
          <w:rFonts w:hint="cs"/>
          <w:b/>
          <w:bCs/>
          <w:sz w:val="24"/>
          <w:szCs w:val="24"/>
          <w:rtl/>
        </w:rPr>
        <w:t>תורת חיים</w:t>
      </w:r>
      <w:r>
        <w:rPr>
          <w:rStyle w:val="a5"/>
          <w:sz w:val="24"/>
          <w:szCs w:val="24"/>
          <w:rtl/>
        </w:rPr>
        <w:footnoteReference w:id="1"/>
      </w:r>
      <w:r>
        <w:rPr>
          <w:rFonts w:hint="cs"/>
          <w:sz w:val="24"/>
          <w:szCs w:val="24"/>
          <w:rtl/>
        </w:rPr>
        <w:t xml:space="preserve"> מקשה על קושיית התוספות</w:t>
      </w:r>
      <w:r w:rsidR="00855F45">
        <w:rPr>
          <w:rFonts w:hint="cs"/>
          <w:sz w:val="24"/>
          <w:szCs w:val="24"/>
          <w:rtl/>
        </w:rPr>
        <w:t xml:space="preserve"> הרי  </w:t>
      </w:r>
      <w:r>
        <w:rPr>
          <w:rFonts w:hint="cs"/>
          <w:sz w:val="24"/>
          <w:szCs w:val="24"/>
          <w:rtl/>
        </w:rPr>
        <w:t>במשנה במסכת זבחים (</w:t>
      </w:r>
      <w:proofErr w:type="spellStart"/>
      <w:r>
        <w:rPr>
          <w:rFonts w:hint="cs"/>
          <w:sz w:val="24"/>
          <w:szCs w:val="24"/>
          <w:rtl/>
        </w:rPr>
        <w:t>פ"יב</w:t>
      </w:r>
      <w:proofErr w:type="spellEnd"/>
      <w:r>
        <w:rPr>
          <w:rFonts w:hint="cs"/>
          <w:sz w:val="24"/>
          <w:szCs w:val="24"/>
          <w:rtl/>
        </w:rPr>
        <w:t>, מ"א) כתוב בפירוש: "כל שאין לו בבשר , אין לו בעורות"</w:t>
      </w:r>
    </w:p>
    <w:p w:rsidR="00855F45" w:rsidRDefault="006965DB" w:rsidP="00855F45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הפני יהושע </w:t>
      </w:r>
      <w:r>
        <w:rPr>
          <w:rFonts w:hint="cs"/>
          <w:sz w:val="24"/>
          <w:szCs w:val="24"/>
          <w:rtl/>
        </w:rPr>
        <w:t xml:space="preserve">דוחה את קושיית </w:t>
      </w:r>
      <w:proofErr w:type="spellStart"/>
      <w:r>
        <w:rPr>
          <w:rFonts w:hint="cs"/>
          <w:sz w:val="24"/>
          <w:szCs w:val="24"/>
          <w:rtl/>
        </w:rPr>
        <w:t>התורת</w:t>
      </w:r>
      <w:proofErr w:type="spellEnd"/>
      <w:r>
        <w:rPr>
          <w:rFonts w:hint="cs"/>
          <w:sz w:val="24"/>
          <w:szCs w:val="24"/>
          <w:rtl/>
        </w:rPr>
        <w:t xml:space="preserve"> חיים. לשיטתו המשנה מדברת על מצב שבו יש במשמר </w:t>
      </w:r>
      <w:proofErr w:type="spellStart"/>
      <w:r>
        <w:rPr>
          <w:rFonts w:hint="cs"/>
          <w:sz w:val="24"/>
          <w:szCs w:val="24"/>
          <w:rtl/>
        </w:rPr>
        <w:t>כהנים</w:t>
      </w:r>
      <w:proofErr w:type="spellEnd"/>
      <w:r>
        <w:rPr>
          <w:rFonts w:hint="cs"/>
          <w:sz w:val="24"/>
          <w:szCs w:val="24"/>
          <w:rtl/>
        </w:rPr>
        <w:t xml:space="preserve"> טהורים שאינם בעלי </w:t>
      </w:r>
      <w:proofErr w:type="spellStart"/>
      <w:r>
        <w:rPr>
          <w:rFonts w:hint="cs"/>
          <w:sz w:val="24"/>
          <w:szCs w:val="24"/>
          <w:rtl/>
        </w:rPr>
        <w:t>מומין</w:t>
      </w:r>
      <w:proofErr w:type="spellEnd"/>
      <w:r>
        <w:rPr>
          <w:rFonts w:hint="cs"/>
          <w:sz w:val="24"/>
          <w:szCs w:val="24"/>
          <w:rtl/>
        </w:rPr>
        <w:t xml:space="preserve"> ועל כל אומרת המשנה כי </w:t>
      </w:r>
      <w:proofErr w:type="spellStart"/>
      <w:r>
        <w:rPr>
          <w:rFonts w:hint="cs"/>
          <w:sz w:val="24"/>
          <w:szCs w:val="24"/>
          <w:rtl/>
        </w:rPr>
        <w:t>כהנים</w:t>
      </w:r>
      <w:proofErr w:type="spellEnd"/>
      <w:r>
        <w:rPr>
          <w:rFonts w:hint="cs"/>
          <w:sz w:val="24"/>
          <w:szCs w:val="24"/>
          <w:rtl/>
        </w:rPr>
        <w:t xml:space="preserve"> טמאים שאינם יכולים לאכול מן הבשר אינם חולקים בעור. אבל במקרה שלנו, הרי </w:t>
      </w:r>
      <w:r w:rsidR="002946DB">
        <w:rPr>
          <w:rFonts w:hint="cs"/>
          <w:sz w:val="24"/>
          <w:szCs w:val="24"/>
          <w:rtl/>
        </w:rPr>
        <w:t xml:space="preserve">מקריבים את הקורבן בטומאה מאחר שאין </w:t>
      </w:r>
      <w:proofErr w:type="spellStart"/>
      <w:r w:rsidR="002946DB">
        <w:rPr>
          <w:rFonts w:hint="cs"/>
          <w:sz w:val="24"/>
          <w:szCs w:val="24"/>
          <w:rtl/>
        </w:rPr>
        <w:t>כהנים</w:t>
      </w:r>
      <w:proofErr w:type="spellEnd"/>
      <w:r w:rsidR="002946DB">
        <w:rPr>
          <w:rFonts w:hint="cs"/>
          <w:sz w:val="24"/>
          <w:szCs w:val="24"/>
          <w:rtl/>
        </w:rPr>
        <w:t xml:space="preserve"> שלמים טהורים ולכן לא שייך כלל דברי המשנה וחוזרת קושיית התוספות מדוע זוכים בעלי </w:t>
      </w:r>
      <w:proofErr w:type="spellStart"/>
      <w:r w:rsidR="002946DB">
        <w:rPr>
          <w:rFonts w:hint="cs"/>
          <w:sz w:val="24"/>
          <w:szCs w:val="24"/>
          <w:rtl/>
        </w:rPr>
        <w:t>המומין</w:t>
      </w:r>
      <w:proofErr w:type="spellEnd"/>
      <w:r w:rsidR="002946DB">
        <w:rPr>
          <w:rFonts w:hint="cs"/>
          <w:sz w:val="24"/>
          <w:szCs w:val="24"/>
          <w:rtl/>
        </w:rPr>
        <w:t xml:space="preserve"> הטהורים בעור.</w:t>
      </w:r>
    </w:p>
    <w:p w:rsidR="002946DB" w:rsidRDefault="002946DB" w:rsidP="00855F4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הפני יהושע מוכיח את סברתו מהשאלה מה הדין במקרה שכל אנשי המשמר טמאים (ואז מותר להקריב אך אסור לאף כהן לאכול) , האם לא יחלקו את העור אלא יוציאו אותה לשרפה? </w:t>
      </w:r>
    </w:p>
    <w:p w:rsidR="006833D3" w:rsidRDefault="006833D3" w:rsidP="00855F45">
      <w:pPr>
        <w:rPr>
          <w:sz w:val="24"/>
          <w:szCs w:val="24"/>
          <w:rtl/>
        </w:rPr>
      </w:pPr>
      <w:proofErr w:type="spellStart"/>
      <w:r w:rsidRPr="006833D3">
        <w:rPr>
          <w:rFonts w:hint="cs"/>
          <w:b/>
          <w:bCs/>
          <w:sz w:val="24"/>
          <w:szCs w:val="24"/>
          <w:rtl/>
        </w:rPr>
        <w:t>הגר"א</w:t>
      </w:r>
      <w:proofErr w:type="spellEnd"/>
      <w:r>
        <w:rPr>
          <w:rFonts w:hint="cs"/>
          <w:sz w:val="24"/>
          <w:szCs w:val="24"/>
          <w:rtl/>
        </w:rPr>
        <w:t xml:space="preserve"> מציין כי </w:t>
      </w:r>
      <w:proofErr w:type="spellStart"/>
      <w:r>
        <w:rPr>
          <w:rFonts w:hint="cs"/>
          <w:sz w:val="24"/>
          <w:szCs w:val="24"/>
          <w:rtl/>
        </w:rPr>
        <w:t>הב"ח</w:t>
      </w:r>
      <w:proofErr w:type="spellEnd"/>
      <w:r>
        <w:rPr>
          <w:rFonts w:hint="cs"/>
          <w:sz w:val="24"/>
          <w:szCs w:val="24"/>
          <w:rtl/>
        </w:rPr>
        <w:t xml:space="preserve"> מחק את התוספות המדובר (בלשון </w:t>
      </w:r>
      <w:proofErr w:type="spellStart"/>
      <w:r>
        <w:rPr>
          <w:rFonts w:hint="cs"/>
          <w:sz w:val="24"/>
          <w:szCs w:val="24"/>
          <w:rtl/>
        </w:rPr>
        <w:t>הגר"א</w:t>
      </w:r>
      <w:proofErr w:type="spellEnd"/>
      <w:r>
        <w:rPr>
          <w:rFonts w:hint="cs"/>
          <w:sz w:val="24"/>
          <w:szCs w:val="24"/>
          <w:rtl/>
        </w:rPr>
        <w:t xml:space="preserve"> : "מוסגר" כלומר סוגריים של מחיקה) ולכן הוא מקבל את קושיית </w:t>
      </w:r>
      <w:proofErr w:type="spellStart"/>
      <w:r>
        <w:rPr>
          <w:rFonts w:hint="cs"/>
          <w:sz w:val="24"/>
          <w:szCs w:val="24"/>
          <w:rtl/>
        </w:rPr>
        <w:t>התורת</w:t>
      </w:r>
      <w:proofErr w:type="spellEnd"/>
      <w:r>
        <w:rPr>
          <w:rFonts w:hint="cs"/>
          <w:sz w:val="24"/>
          <w:szCs w:val="24"/>
          <w:rtl/>
        </w:rPr>
        <w:t xml:space="preserve"> חטאת , ולא את הסברו של הפני יהושע</w:t>
      </w:r>
    </w:p>
    <w:p w:rsidR="006833D3" w:rsidRPr="006833D3" w:rsidRDefault="006833D3" w:rsidP="006833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יש להעיר כי בדפוסים שלנו לא </w:t>
      </w:r>
      <w:proofErr w:type="spellStart"/>
      <w:r>
        <w:rPr>
          <w:rFonts w:hint="cs"/>
          <w:sz w:val="24"/>
          <w:szCs w:val="24"/>
          <w:rtl/>
        </w:rPr>
        <w:t>מצויינת</w:t>
      </w:r>
      <w:proofErr w:type="spellEnd"/>
      <w:r>
        <w:rPr>
          <w:rFonts w:hint="cs"/>
          <w:sz w:val="24"/>
          <w:szCs w:val="24"/>
          <w:rtl/>
        </w:rPr>
        <w:t xml:space="preserve"> המחיקה של </w:t>
      </w:r>
      <w:proofErr w:type="spellStart"/>
      <w:r>
        <w:rPr>
          <w:rFonts w:hint="cs"/>
          <w:sz w:val="24"/>
          <w:szCs w:val="24"/>
          <w:rtl/>
        </w:rPr>
        <w:t>הב"ח</w:t>
      </w:r>
      <w:proofErr w:type="spellEnd"/>
      <w:r>
        <w:rPr>
          <w:rFonts w:hint="cs"/>
          <w:sz w:val="24"/>
          <w:szCs w:val="24"/>
          <w:rtl/>
        </w:rPr>
        <w:t xml:space="preserve">  אותה ציין </w:t>
      </w:r>
      <w:proofErr w:type="spellStart"/>
      <w:r>
        <w:rPr>
          <w:rFonts w:hint="cs"/>
          <w:sz w:val="24"/>
          <w:szCs w:val="24"/>
          <w:rtl/>
        </w:rPr>
        <w:t>הגר"א</w:t>
      </w:r>
      <w:proofErr w:type="spellEnd"/>
      <w:r>
        <w:rPr>
          <w:rFonts w:hint="cs"/>
          <w:sz w:val="24"/>
          <w:szCs w:val="24"/>
          <w:rtl/>
        </w:rPr>
        <w:t xml:space="preserve">. </w:t>
      </w:r>
    </w:p>
    <w:p w:rsidR="00B27BEC" w:rsidRDefault="002946DB" w:rsidP="00B27BEC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הרמב"ם </w:t>
      </w:r>
      <w:r>
        <w:rPr>
          <w:rFonts w:hint="cs"/>
          <w:sz w:val="24"/>
          <w:szCs w:val="24"/>
          <w:rtl/>
        </w:rPr>
        <w:t xml:space="preserve">(הלכות כלי המקדש פ"ד, </w:t>
      </w:r>
      <w:proofErr w:type="spellStart"/>
      <w:r>
        <w:rPr>
          <w:rFonts w:hint="cs"/>
          <w:sz w:val="24"/>
          <w:szCs w:val="24"/>
          <w:rtl/>
        </w:rPr>
        <w:t>ה"ט</w:t>
      </w:r>
      <w:proofErr w:type="spellEnd"/>
      <w:r>
        <w:rPr>
          <w:rFonts w:hint="cs"/>
          <w:sz w:val="24"/>
          <w:szCs w:val="24"/>
          <w:rtl/>
        </w:rPr>
        <w:t xml:space="preserve">) פסק לכאורה </w:t>
      </w:r>
      <w:r w:rsidR="00B27BEC">
        <w:rPr>
          <w:rFonts w:hint="cs"/>
          <w:sz w:val="24"/>
          <w:szCs w:val="24"/>
          <w:rtl/>
        </w:rPr>
        <w:t xml:space="preserve">הפוך מדברי רבא </w:t>
      </w:r>
      <w:proofErr w:type="spellStart"/>
      <w:r w:rsidR="00B27BEC">
        <w:rPr>
          <w:rFonts w:hint="cs"/>
          <w:sz w:val="24"/>
          <w:szCs w:val="24"/>
          <w:rtl/>
        </w:rPr>
        <w:t>בתרתי</w:t>
      </w:r>
      <w:proofErr w:type="spellEnd"/>
      <w:r w:rsidR="00B27BEC">
        <w:rPr>
          <w:rFonts w:hint="cs"/>
          <w:sz w:val="24"/>
          <w:szCs w:val="24"/>
          <w:rtl/>
        </w:rPr>
        <w:t>:</w:t>
      </w:r>
    </w:p>
    <w:p w:rsidR="00B27BEC" w:rsidRDefault="00B27BEC" w:rsidP="00B27BEC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"</w:t>
      </w:r>
      <w:r w:rsidRPr="00B27BEC">
        <w:rPr>
          <w:rFonts w:cs="Arial"/>
          <w:sz w:val="24"/>
          <w:szCs w:val="24"/>
          <w:rtl/>
        </w:rPr>
        <w:t xml:space="preserve">היה טמא בקרבנות הצבור וכל </w:t>
      </w:r>
      <w:proofErr w:type="spellStart"/>
      <w:r w:rsidRPr="00B27BEC">
        <w:rPr>
          <w:rFonts w:cs="Arial"/>
          <w:sz w:val="24"/>
          <w:szCs w:val="24"/>
          <w:rtl/>
        </w:rPr>
        <w:t>הכהנים</w:t>
      </w:r>
      <w:proofErr w:type="spellEnd"/>
      <w:r w:rsidRPr="00B27BEC">
        <w:rPr>
          <w:rFonts w:cs="Arial"/>
          <w:sz w:val="24"/>
          <w:szCs w:val="24"/>
          <w:rtl/>
        </w:rPr>
        <w:t xml:space="preserve"> טמאים נותנו לבעלי </w:t>
      </w:r>
      <w:proofErr w:type="spellStart"/>
      <w:r w:rsidRPr="00B27BEC">
        <w:rPr>
          <w:rFonts w:cs="Arial"/>
          <w:sz w:val="24"/>
          <w:szCs w:val="24"/>
          <w:rtl/>
        </w:rPr>
        <w:t>מומין</w:t>
      </w:r>
      <w:proofErr w:type="spellEnd"/>
      <w:r w:rsidRPr="00B27BEC">
        <w:rPr>
          <w:rFonts w:cs="Arial"/>
          <w:sz w:val="24"/>
          <w:szCs w:val="24"/>
          <w:rtl/>
        </w:rPr>
        <w:t xml:space="preserve"> טהורים שבאותו משמר, ועורו ועבודתו לאנשי משמר הטמאים</w:t>
      </w:r>
      <w:r>
        <w:rPr>
          <w:rFonts w:hint="cs"/>
          <w:sz w:val="24"/>
          <w:szCs w:val="24"/>
          <w:rtl/>
        </w:rPr>
        <w:t xml:space="preserve">" </w:t>
      </w:r>
    </w:p>
    <w:p w:rsidR="00B27BEC" w:rsidRDefault="00B27BEC" w:rsidP="00B27B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ואכן </w:t>
      </w:r>
      <w:proofErr w:type="spellStart"/>
      <w:r w:rsidRPr="00B27BEC">
        <w:rPr>
          <w:rFonts w:hint="cs"/>
          <w:b/>
          <w:bCs/>
          <w:sz w:val="24"/>
          <w:szCs w:val="24"/>
          <w:rtl/>
        </w:rPr>
        <w:t>הראב"ד</w:t>
      </w:r>
      <w:proofErr w:type="spellEnd"/>
      <w:r>
        <w:rPr>
          <w:rFonts w:hint="cs"/>
          <w:sz w:val="24"/>
          <w:szCs w:val="24"/>
          <w:rtl/>
        </w:rPr>
        <w:t xml:space="preserve"> במקום אומר "כל זה שיבוש" והופך את ההלכה כפי שפסק רבא בגמרא שלנו (להקריב יכול כל כהן טמא, עור ובשר לבעלי </w:t>
      </w:r>
      <w:proofErr w:type="spellStart"/>
      <w:r>
        <w:rPr>
          <w:rFonts w:hint="cs"/>
          <w:sz w:val="24"/>
          <w:szCs w:val="24"/>
          <w:rtl/>
        </w:rPr>
        <w:t>מומין</w:t>
      </w:r>
      <w:proofErr w:type="spellEnd"/>
      <w:r>
        <w:rPr>
          <w:rFonts w:hint="cs"/>
          <w:sz w:val="24"/>
          <w:szCs w:val="24"/>
          <w:rtl/>
        </w:rPr>
        <w:t xml:space="preserve"> טהורים)</w:t>
      </w:r>
    </w:p>
    <w:p w:rsidR="00B27BEC" w:rsidRDefault="00B27BEC" w:rsidP="00B27BEC">
      <w:pPr>
        <w:rPr>
          <w:sz w:val="24"/>
          <w:szCs w:val="24"/>
          <w:rtl/>
        </w:rPr>
      </w:pPr>
      <w:r w:rsidRPr="00B27BEC">
        <w:rPr>
          <w:rFonts w:hint="cs"/>
          <w:b/>
          <w:bCs/>
          <w:sz w:val="24"/>
          <w:szCs w:val="24"/>
          <w:rtl/>
        </w:rPr>
        <w:t>הכסף משנה</w:t>
      </w:r>
      <w:r>
        <w:rPr>
          <w:rFonts w:hint="cs"/>
          <w:sz w:val="24"/>
          <w:szCs w:val="24"/>
          <w:rtl/>
        </w:rPr>
        <w:t xml:space="preserve"> תמה על פסק הרמב"ם וכתב שני תירוצים:</w:t>
      </w:r>
    </w:p>
    <w:p w:rsidR="00B27BEC" w:rsidRDefault="00B27BEC" w:rsidP="00B27B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א. למחוק מדברי הרמב"ם את המילה "ועבודתו". ואז כוונתו לומר כי הטמאים מקריבים את הקורבן </w:t>
      </w:r>
      <w:r>
        <w:rPr>
          <w:rFonts w:hint="cs"/>
          <w:b/>
          <w:bCs/>
          <w:sz w:val="24"/>
          <w:szCs w:val="24"/>
          <w:rtl/>
        </w:rPr>
        <w:t xml:space="preserve">ונותנים </w:t>
      </w:r>
      <w:r>
        <w:rPr>
          <w:rFonts w:hint="cs"/>
          <w:sz w:val="24"/>
          <w:szCs w:val="24"/>
          <w:rtl/>
        </w:rPr>
        <w:t xml:space="preserve">את הבשר לבעלי </w:t>
      </w:r>
      <w:proofErr w:type="spellStart"/>
      <w:r>
        <w:rPr>
          <w:rFonts w:hint="cs"/>
          <w:sz w:val="24"/>
          <w:szCs w:val="24"/>
          <w:rtl/>
        </w:rPr>
        <w:t>מומין</w:t>
      </w:r>
      <w:proofErr w:type="spellEnd"/>
      <w:r>
        <w:rPr>
          <w:rFonts w:hint="cs"/>
          <w:sz w:val="24"/>
          <w:szCs w:val="24"/>
          <w:rtl/>
        </w:rPr>
        <w:t xml:space="preserve"> טהורים לאכול והעור חוזר אצל </w:t>
      </w:r>
      <w:proofErr w:type="spellStart"/>
      <w:r>
        <w:rPr>
          <w:rFonts w:hint="cs"/>
          <w:sz w:val="24"/>
          <w:szCs w:val="24"/>
          <w:rtl/>
        </w:rPr>
        <w:t>הכהנים</w:t>
      </w:r>
      <w:proofErr w:type="spellEnd"/>
      <w:r>
        <w:rPr>
          <w:rFonts w:hint="cs"/>
          <w:sz w:val="24"/>
          <w:szCs w:val="24"/>
          <w:rtl/>
        </w:rPr>
        <w:t xml:space="preserve"> הטמאים (ומסכים בכך עם תמיהת התוספות  מדוע העור יהיה לטהורים בעלי </w:t>
      </w:r>
      <w:proofErr w:type="spellStart"/>
      <w:r>
        <w:rPr>
          <w:rFonts w:hint="cs"/>
          <w:sz w:val="24"/>
          <w:szCs w:val="24"/>
          <w:rtl/>
        </w:rPr>
        <w:t>המומין</w:t>
      </w:r>
      <w:proofErr w:type="spellEnd"/>
      <w:r>
        <w:rPr>
          <w:rFonts w:hint="cs"/>
          <w:sz w:val="24"/>
          <w:szCs w:val="24"/>
          <w:rtl/>
        </w:rPr>
        <w:t>)</w:t>
      </w:r>
    </w:p>
    <w:p w:rsidR="00B27BEC" w:rsidRDefault="00B27BEC" w:rsidP="00B27B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ב. להקדים מילת "ועבודתו" למילת "ועורו" ואז יצא כי נותן לבעלי </w:t>
      </w:r>
      <w:proofErr w:type="spellStart"/>
      <w:r>
        <w:rPr>
          <w:rFonts w:hint="cs"/>
          <w:sz w:val="24"/>
          <w:szCs w:val="24"/>
          <w:rtl/>
        </w:rPr>
        <w:t>מומין</w:t>
      </w:r>
      <w:proofErr w:type="spellEnd"/>
      <w:r>
        <w:rPr>
          <w:rFonts w:hint="cs"/>
          <w:sz w:val="24"/>
          <w:szCs w:val="24"/>
          <w:rtl/>
        </w:rPr>
        <w:t xml:space="preserve"> טהורים את עבודתו (אכילת הבשר) אך העור חוזר </w:t>
      </w:r>
      <w:proofErr w:type="spellStart"/>
      <w:r>
        <w:rPr>
          <w:rFonts w:hint="cs"/>
          <w:sz w:val="24"/>
          <w:szCs w:val="24"/>
          <w:rtl/>
        </w:rPr>
        <w:t>לכהנים</w:t>
      </w:r>
      <w:proofErr w:type="spellEnd"/>
      <w:r>
        <w:rPr>
          <w:rFonts w:hint="cs"/>
          <w:sz w:val="24"/>
          <w:szCs w:val="24"/>
          <w:rtl/>
        </w:rPr>
        <w:t xml:space="preserve"> הטמאים שהקריבוהו. </w:t>
      </w:r>
    </w:p>
    <w:p w:rsidR="00B27BEC" w:rsidRDefault="00323EF6" w:rsidP="00323EF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מעיר הכסף משנה כי לפי התשובה </w:t>
      </w:r>
      <w:proofErr w:type="spellStart"/>
      <w:r>
        <w:rPr>
          <w:rFonts w:hint="cs"/>
          <w:sz w:val="24"/>
          <w:szCs w:val="24"/>
          <w:rtl/>
        </w:rPr>
        <w:t>השניה</w:t>
      </w:r>
      <w:proofErr w:type="spellEnd"/>
      <w:r>
        <w:rPr>
          <w:rFonts w:hint="cs"/>
          <w:sz w:val="24"/>
          <w:szCs w:val="24"/>
          <w:rtl/>
        </w:rPr>
        <w:t xml:space="preserve">, המילה "ועבודתו" בהגדרת הרמב"ם פירושה "אכילת הבשר" אך בגמרא שלנו פירושה "הקרבת הבשר". </w:t>
      </w:r>
    </w:p>
    <w:p w:rsidR="00BA0DC7" w:rsidRDefault="00BA0DC7" w:rsidP="00323EF6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בספר </w:t>
      </w:r>
      <w:r w:rsidRPr="00AB3D32">
        <w:rPr>
          <w:rFonts w:hint="cs"/>
          <w:b/>
          <w:bCs/>
          <w:sz w:val="24"/>
          <w:szCs w:val="24"/>
          <w:rtl/>
        </w:rPr>
        <w:t>מפרשי הים</w:t>
      </w:r>
      <w:r>
        <w:rPr>
          <w:rFonts w:hint="cs"/>
          <w:sz w:val="24"/>
          <w:szCs w:val="24"/>
          <w:rtl/>
        </w:rPr>
        <w:t xml:space="preserve"> הקשו הגאונים כותבי הספר (רי"ש נתנזון וגיסו רבי מרדכי זאב אטינגר) , הרי להלכה אומנם מותר להקריב קורבן ציבור בטומאה אך אסור לאוכלו , ואם כן </w:t>
      </w:r>
      <w:r w:rsidR="00AB3D32">
        <w:rPr>
          <w:rFonts w:hint="cs"/>
          <w:sz w:val="24"/>
          <w:szCs w:val="24"/>
          <w:rtl/>
        </w:rPr>
        <w:t xml:space="preserve">כיצד אומרת רבא שבעלי </w:t>
      </w:r>
      <w:proofErr w:type="spellStart"/>
      <w:r w:rsidR="00AB3D32">
        <w:rPr>
          <w:rFonts w:hint="cs"/>
          <w:sz w:val="24"/>
          <w:szCs w:val="24"/>
          <w:rtl/>
        </w:rPr>
        <w:t>מומין</w:t>
      </w:r>
      <w:proofErr w:type="spellEnd"/>
      <w:r w:rsidR="00AB3D32">
        <w:rPr>
          <w:rFonts w:hint="cs"/>
          <w:sz w:val="24"/>
          <w:szCs w:val="24"/>
          <w:rtl/>
        </w:rPr>
        <w:t xml:space="preserve"> טהורים מן המשמר יאכלו את הקורבן ויזכו בעור , הרי אסור לאוכלו?</w:t>
      </w:r>
      <w:r w:rsidR="00AB3D32">
        <w:rPr>
          <w:rStyle w:val="a5"/>
          <w:sz w:val="24"/>
          <w:szCs w:val="24"/>
          <w:rtl/>
        </w:rPr>
        <w:footnoteReference w:id="2"/>
      </w:r>
      <w:r w:rsidR="00AB3D32">
        <w:rPr>
          <w:rFonts w:hint="cs"/>
          <w:sz w:val="24"/>
          <w:szCs w:val="24"/>
          <w:rtl/>
        </w:rPr>
        <w:t xml:space="preserve"> </w:t>
      </w:r>
    </w:p>
    <w:p w:rsidR="00AB3D32" w:rsidRPr="00AB3D32" w:rsidRDefault="00AB3D32" w:rsidP="00AB3D32">
      <w:pPr>
        <w:rPr>
          <w:sz w:val="24"/>
          <w:szCs w:val="24"/>
          <w:rtl/>
        </w:rPr>
      </w:pPr>
      <w:proofErr w:type="spellStart"/>
      <w:r w:rsidRPr="00AB3D32">
        <w:rPr>
          <w:rFonts w:hint="cs"/>
          <w:b/>
          <w:bCs/>
          <w:sz w:val="24"/>
          <w:szCs w:val="24"/>
          <w:rtl/>
        </w:rPr>
        <w:t>בשו"ת</w:t>
      </w:r>
      <w:proofErr w:type="spellEnd"/>
      <w:r w:rsidRPr="00AB3D32">
        <w:rPr>
          <w:rFonts w:hint="cs"/>
          <w:b/>
          <w:bCs/>
          <w:sz w:val="24"/>
          <w:szCs w:val="24"/>
          <w:rtl/>
        </w:rPr>
        <w:t xml:space="preserve"> בניין ציון </w:t>
      </w:r>
      <w:r>
        <w:rPr>
          <w:rFonts w:hint="cs"/>
          <w:sz w:val="24"/>
          <w:szCs w:val="24"/>
          <w:rtl/>
        </w:rPr>
        <w:t>במכתב שכתב לבנו של הרב אטינגר, תירץ בפשטות כי דברי הגמרא במסכת פסחים (</w:t>
      </w:r>
      <w:proofErr w:type="spellStart"/>
      <w:r>
        <w:rPr>
          <w:rFonts w:hint="cs"/>
          <w:sz w:val="24"/>
          <w:szCs w:val="24"/>
          <w:rtl/>
        </w:rPr>
        <w:t>עו</w:t>
      </w:r>
      <w:proofErr w:type="spellEnd"/>
      <w:r>
        <w:rPr>
          <w:rFonts w:hint="cs"/>
          <w:sz w:val="24"/>
          <w:szCs w:val="24"/>
          <w:rtl/>
        </w:rPr>
        <w:t>, א) "</w:t>
      </w:r>
      <w:r w:rsidRPr="00AB3D32">
        <w:rPr>
          <w:rtl/>
        </w:rPr>
        <w:t xml:space="preserve"> </w:t>
      </w:r>
      <w:r w:rsidRPr="00AB3D32">
        <w:rPr>
          <w:rFonts w:cs="Arial"/>
          <w:sz w:val="24"/>
          <w:szCs w:val="24"/>
          <w:rtl/>
        </w:rPr>
        <w:t xml:space="preserve">חמשה דברים באין בטומאה ואינן </w:t>
      </w:r>
      <w:proofErr w:type="spellStart"/>
      <w:r w:rsidRPr="00AB3D32">
        <w:rPr>
          <w:rFonts w:cs="Arial"/>
          <w:sz w:val="24"/>
          <w:szCs w:val="24"/>
          <w:rtl/>
        </w:rPr>
        <w:t>נאכלין</w:t>
      </w:r>
      <w:proofErr w:type="spellEnd"/>
      <w:r w:rsidRPr="00AB3D32">
        <w:rPr>
          <w:rFonts w:cs="Arial"/>
          <w:sz w:val="24"/>
          <w:szCs w:val="24"/>
          <w:rtl/>
        </w:rPr>
        <w:t xml:space="preserve"> בטומאה</w:t>
      </w:r>
      <w:r>
        <w:rPr>
          <w:rFonts w:hint="cs"/>
          <w:sz w:val="24"/>
          <w:szCs w:val="24"/>
          <w:rtl/>
        </w:rPr>
        <w:t xml:space="preserve">" אין הכוונה שלא אוכלים את הקורבן כלל, אלא הכוונה </w:t>
      </w:r>
      <w:proofErr w:type="spellStart"/>
      <w:r>
        <w:rPr>
          <w:rFonts w:hint="cs"/>
          <w:sz w:val="24"/>
          <w:szCs w:val="24"/>
          <w:rtl/>
        </w:rPr>
        <w:t>שהכהנים</w:t>
      </w:r>
      <w:proofErr w:type="spellEnd"/>
      <w:r>
        <w:rPr>
          <w:rFonts w:hint="cs"/>
          <w:sz w:val="24"/>
          <w:szCs w:val="24"/>
          <w:rtl/>
        </w:rPr>
        <w:t xml:space="preserve"> הטמאים אינם יכולים לאכול את הקורבן שהקריבו ומכיוון שבעלי </w:t>
      </w:r>
      <w:proofErr w:type="spellStart"/>
      <w:r>
        <w:rPr>
          <w:rFonts w:hint="cs"/>
          <w:sz w:val="24"/>
          <w:szCs w:val="24"/>
          <w:rtl/>
        </w:rPr>
        <w:t>המומין</w:t>
      </w:r>
      <w:proofErr w:type="spellEnd"/>
      <w:r>
        <w:rPr>
          <w:rFonts w:hint="cs"/>
          <w:sz w:val="24"/>
          <w:szCs w:val="24"/>
          <w:rtl/>
        </w:rPr>
        <w:t xml:space="preserve"> במשמר הם טהורים , הרי שאין כלל בעיה לאכול את הקורבן. </w:t>
      </w:r>
    </w:p>
    <w:p w:rsidR="00AB3D32" w:rsidRDefault="00AB3D32" w:rsidP="00323EF6">
      <w:pPr>
        <w:rPr>
          <w:sz w:val="24"/>
          <w:szCs w:val="24"/>
          <w:rtl/>
        </w:rPr>
      </w:pPr>
    </w:p>
    <w:p w:rsidR="00AB3D32" w:rsidRPr="00B27BEC" w:rsidRDefault="00AB3D32" w:rsidP="00323EF6">
      <w:pPr>
        <w:rPr>
          <w:sz w:val="24"/>
          <w:szCs w:val="24"/>
        </w:rPr>
      </w:pPr>
    </w:p>
    <w:sectPr w:rsidR="00AB3D32" w:rsidRPr="00B27BEC" w:rsidSect="00905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7A" w:rsidRDefault="00877F7A" w:rsidP="002C409A">
      <w:pPr>
        <w:spacing w:after="0" w:line="240" w:lineRule="auto"/>
      </w:pPr>
      <w:r>
        <w:separator/>
      </w:r>
    </w:p>
  </w:endnote>
  <w:endnote w:type="continuationSeparator" w:id="0">
    <w:p w:rsidR="00877F7A" w:rsidRDefault="00877F7A" w:rsidP="002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7A" w:rsidRDefault="00877F7A" w:rsidP="002C409A">
      <w:pPr>
        <w:spacing w:after="0" w:line="240" w:lineRule="auto"/>
      </w:pPr>
      <w:r>
        <w:separator/>
      </w:r>
    </w:p>
  </w:footnote>
  <w:footnote w:type="continuationSeparator" w:id="0">
    <w:p w:rsidR="00877F7A" w:rsidRDefault="00877F7A" w:rsidP="002C409A">
      <w:pPr>
        <w:spacing w:after="0" w:line="240" w:lineRule="auto"/>
      </w:pPr>
      <w:r>
        <w:continuationSeparator/>
      </w:r>
    </w:p>
  </w:footnote>
  <w:footnote w:id="1">
    <w:p w:rsidR="002C409A" w:rsidRDefault="002C409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רבי אברהם חיים שור, רב העיר </w:t>
      </w:r>
      <w:proofErr w:type="spellStart"/>
      <w:r>
        <w:rPr>
          <w:rFonts w:hint="cs"/>
          <w:rtl/>
        </w:rPr>
        <w:t>בלז</w:t>
      </w:r>
      <w:proofErr w:type="spellEnd"/>
      <w:r>
        <w:rPr>
          <w:rFonts w:hint="cs"/>
          <w:rtl/>
        </w:rPr>
        <w:t xml:space="preserve"> בגליציה , נפטר 1632</w:t>
      </w:r>
    </w:p>
  </w:footnote>
  <w:footnote w:id="2">
    <w:p w:rsidR="00AB3D32" w:rsidRDefault="00AB3D32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זה לפי ההסבר הפשוט בגמרא "עבודתה ועורה" </w:t>
      </w:r>
      <w:r>
        <w:rPr>
          <w:rtl/>
        </w:rPr>
        <w:t>–</w:t>
      </w:r>
      <w:r>
        <w:rPr>
          <w:rFonts w:hint="cs"/>
          <w:rtl/>
        </w:rPr>
        <w:t xml:space="preserve"> אכילת הבשר וזכייה בעור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8"/>
    <w:rsid w:val="002946DB"/>
    <w:rsid w:val="0029696F"/>
    <w:rsid w:val="002C409A"/>
    <w:rsid w:val="00323EF6"/>
    <w:rsid w:val="00332770"/>
    <w:rsid w:val="00471DE8"/>
    <w:rsid w:val="005E461A"/>
    <w:rsid w:val="006833D3"/>
    <w:rsid w:val="006965DB"/>
    <w:rsid w:val="00855F45"/>
    <w:rsid w:val="00877F7A"/>
    <w:rsid w:val="00905C59"/>
    <w:rsid w:val="00947359"/>
    <w:rsid w:val="00AB3D32"/>
    <w:rsid w:val="00AB43F7"/>
    <w:rsid w:val="00B27BEC"/>
    <w:rsid w:val="00BA0DC7"/>
    <w:rsid w:val="00BB545D"/>
    <w:rsid w:val="00D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00E9"/>
  <w15:chartTrackingRefBased/>
  <w15:docId w15:val="{2855F26E-69F6-45E9-8DEB-4F59B22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409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C40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4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D3E5-C42D-4839-982D-5D8A2D8D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2023-09-08T07:49:00Z</dcterms:created>
  <dcterms:modified xsi:type="dcterms:W3CDTF">2023-10-15T18:48:00Z</dcterms:modified>
</cp:coreProperties>
</file>