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54A611" w14:textId="77777777" w:rsidR="003529C6" w:rsidRDefault="003529C6">
      <w:pPr>
        <w:spacing w:after="120"/>
        <w:rPr>
          <w:rFonts w:hint="cs"/>
          <w:rtl/>
          <w:lang w:eastAsia="en-US"/>
        </w:rPr>
      </w:pPr>
      <w:bookmarkStart w:id="0" w:name="_GoBack"/>
      <w:bookmarkEnd w:id="0"/>
      <w:r>
        <w:rPr>
          <w:rFonts w:hint="cs"/>
          <w:rtl/>
          <w:lang w:eastAsia="en-US"/>
        </w:rPr>
        <w:t>מסכת יומא</w:t>
      </w:r>
    </w:p>
    <w:p w14:paraId="0C739DEA" w14:textId="77777777" w:rsidR="003529C6" w:rsidRDefault="003529C6">
      <w:pPr>
        <w:pStyle w:val="2"/>
        <w:spacing w:after="120"/>
        <w:jc w:val="center"/>
        <w:rPr>
          <w:rFonts w:hint="cs"/>
          <w:sz w:val="42"/>
          <w:szCs w:val="40"/>
          <w:u w:val="none"/>
          <w:rtl/>
        </w:rPr>
      </w:pPr>
      <w:r>
        <w:rPr>
          <w:rFonts w:hint="cs"/>
          <w:b w:val="0"/>
          <w:bCs w:val="0"/>
          <w:color w:val="0000FF"/>
          <w:sz w:val="28"/>
          <w:szCs w:val="30"/>
          <w:u w:val="none"/>
          <w:rtl/>
        </w:rPr>
        <w:t>יוּמָא /</w:t>
      </w:r>
      <w:r>
        <w:rPr>
          <w:rFonts w:hint="cs"/>
          <w:sz w:val="28"/>
          <w:szCs w:val="30"/>
          <w:u w:val="none"/>
          <w:rtl/>
        </w:rPr>
        <w:t xml:space="preserve"> </w:t>
      </w:r>
      <w:r>
        <w:rPr>
          <w:rFonts w:hint="cs"/>
          <w:sz w:val="42"/>
          <w:szCs w:val="40"/>
          <w:u w:val="none"/>
          <w:rtl/>
        </w:rPr>
        <w:t>יוֹמָא</w:t>
      </w:r>
    </w:p>
    <w:p w14:paraId="4A7DD547" w14:textId="77777777" w:rsidR="003529C6" w:rsidRDefault="003529C6">
      <w:pPr>
        <w:rPr>
          <w:rFonts w:hint="cs"/>
          <w:rtl/>
        </w:rPr>
      </w:pPr>
      <w:r>
        <w:rPr>
          <w:rFonts w:hint="cs"/>
          <w:rtl/>
        </w:rPr>
        <w:t>שמה של מסכתנו בתוספתא (כתב יד ערפורט</w:t>
      </w:r>
      <w:r>
        <w:rPr>
          <w:rStyle w:val="a9"/>
          <w:rtl/>
        </w:rPr>
        <w:endnoteReference w:id="1"/>
      </w:r>
      <w:r>
        <w:rPr>
          <w:rFonts w:hint="cs"/>
          <w:rtl/>
        </w:rPr>
        <w:t>) "יום הַכיפורִים". זהו השם הברור והמובן, ואולי גם המקורי, של מסכת זו (עיין בירושלמי יומא פ"א ה"ה</w:t>
      </w:r>
      <w:r>
        <w:rPr>
          <w:rStyle w:val="a9"/>
          <w:rtl/>
        </w:rPr>
        <w:endnoteReference w:id="2"/>
      </w:r>
      <w:r>
        <w:rPr>
          <w:rFonts w:hint="cs"/>
          <w:rtl/>
        </w:rPr>
        <w:t>). שם זה קוצר כנראה בשני אופנים:</w:t>
      </w:r>
    </w:p>
    <w:p w14:paraId="586BD245" w14:textId="77777777" w:rsidR="003529C6" w:rsidRDefault="003529C6">
      <w:pPr>
        <w:rPr>
          <w:rFonts w:hint="cs"/>
          <w:rtl/>
        </w:rPr>
      </w:pPr>
      <w:r>
        <w:rPr>
          <w:rFonts w:hint="cs"/>
          <w:b/>
          <w:bCs/>
          <w:rtl/>
        </w:rPr>
        <w:t>א.</w:t>
      </w:r>
      <w:r>
        <w:rPr>
          <w:rFonts w:hint="cs"/>
          <w:rtl/>
        </w:rPr>
        <w:t xml:space="preserve"> "כִּפּורִים" (ללא המילה הראשונה "יום") - בשם עברי זה נקראת המסכת בפי הגאונים</w:t>
      </w:r>
      <w:r>
        <w:rPr>
          <w:rStyle w:val="a9"/>
          <w:rtl/>
        </w:rPr>
        <w:endnoteReference w:id="3"/>
      </w:r>
      <w:r>
        <w:rPr>
          <w:rFonts w:hint="cs"/>
          <w:rtl/>
        </w:rPr>
        <w:t xml:space="preserve"> והרמב"ם</w:t>
      </w:r>
      <w:r>
        <w:rPr>
          <w:rFonts w:hint="cs"/>
          <w:color w:val="0000FF"/>
          <w:rtl/>
        </w:rPr>
        <w:t xml:space="preserve"> (פיהמ"ש)</w:t>
      </w:r>
      <w:r>
        <w:rPr>
          <w:rFonts w:hint="cs"/>
          <w:rtl/>
        </w:rPr>
        <w:t>, וב</w:t>
      </w:r>
      <w:r>
        <w:rPr>
          <w:rFonts w:hint="cs"/>
          <w:color w:val="0000FF"/>
          <w:sz w:val="18"/>
          <w:szCs w:val="20"/>
          <w:rtl/>
        </w:rPr>
        <w:t xml:space="preserve">כמה </w:t>
      </w:r>
      <w:r>
        <w:rPr>
          <w:rFonts w:hint="cs"/>
          <w:rtl/>
        </w:rPr>
        <w:t xml:space="preserve">כתבי יד של המשנה </w:t>
      </w:r>
      <w:r>
        <w:rPr>
          <w:rFonts w:hint="cs"/>
          <w:color w:val="0000FF"/>
          <w:rtl/>
        </w:rPr>
        <w:t>(כגון כתב יד קאופמן</w:t>
      </w:r>
      <w:r>
        <w:rPr>
          <w:rStyle w:val="a9"/>
          <w:color w:val="0000FF"/>
          <w:rtl/>
        </w:rPr>
        <w:endnoteReference w:id="4"/>
      </w:r>
      <w:r>
        <w:rPr>
          <w:rFonts w:hint="cs"/>
          <w:color w:val="0000FF"/>
          <w:rtl/>
        </w:rPr>
        <w:t xml:space="preserve">), ואין מסכת זו מוצאת מכלל </w:t>
      </w:r>
      <w:r>
        <w:rPr>
          <w:rFonts w:hint="cs"/>
          <w:color w:val="0000FF"/>
          <w:sz w:val="18"/>
          <w:szCs w:val="20"/>
          <w:rtl/>
        </w:rPr>
        <w:t xml:space="preserve">כל </w:t>
      </w:r>
      <w:r>
        <w:rPr>
          <w:rFonts w:hint="cs"/>
          <w:color w:val="0000FF"/>
          <w:rtl/>
        </w:rPr>
        <w:t>המסכתות ששמן אינו ארמית</w:t>
      </w:r>
      <w:r>
        <w:rPr>
          <w:rStyle w:val="a9"/>
          <w:color w:val="0000FF"/>
          <w:rtl/>
        </w:rPr>
        <w:endnoteReference w:id="5"/>
      </w:r>
      <w:r>
        <w:rPr>
          <w:rFonts w:hint="cs"/>
          <w:rtl/>
        </w:rPr>
        <w:t xml:space="preserve">. </w:t>
      </w:r>
    </w:p>
    <w:p w14:paraId="3B6E73DD" w14:textId="77777777" w:rsidR="003529C6" w:rsidRDefault="003529C6">
      <w:pPr>
        <w:rPr>
          <w:rFonts w:hint="cs"/>
        </w:rPr>
      </w:pPr>
      <w:r>
        <w:rPr>
          <w:rFonts w:hint="cs"/>
          <w:b/>
          <w:bCs/>
          <w:rtl/>
        </w:rPr>
        <w:t>ב.</w:t>
      </w:r>
      <w:r>
        <w:rPr>
          <w:rFonts w:hint="cs"/>
          <w:rtl/>
        </w:rPr>
        <w:t xml:space="preserve"> השם </w:t>
      </w:r>
      <w:r>
        <w:rPr>
          <w:rFonts w:hint="cs"/>
          <w:color w:val="0000FF"/>
          <w:rtl/>
        </w:rPr>
        <w:t>העברי</w:t>
      </w:r>
      <w:r>
        <w:rPr>
          <w:rFonts w:hint="cs"/>
          <w:rtl/>
        </w:rPr>
        <w:t xml:space="preserve"> "יום הַכִּפּורִים", תרגומו הארמי הוא "</w:t>
      </w:r>
      <w:r>
        <w:rPr>
          <w:rFonts w:hint="cs"/>
          <w:b/>
          <w:bCs/>
          <w:rtl/>
        </w:rPr>
        <w:t>יומא דכיפורי</w:t>
      </w:r>
      <w:r>
        <w:rPr>
          <w:rFonts w:hint="cs"/>
          <w:rtl/>
        </w:rPr>
        <w:t>"</w:t>
      </w:r>
      <w:r>
        <w:rPr>
          <w:rStyle w:val="a9"/>
          <w:rtl/>
        </w:rPr>
        <w:endnoteReference w:id="6"/>
      </w:r>
      <w:r>
        <w:rPr>
          <w:rFonts w:hint="cs"/>
          <w:rtl/>
        </w:rPr>
        <w:t xml:space="preserve"> (או כתרגום אונקלוס</w:t>
      </w:r>
      <w:r>
        <w:rPr>
          <w:rStyle w:val="a9"/>
          <w:rtl/>
        </w:rPr>
        <w:endnoteReference w:id="7"/>
      </w:r>
      <w:r>
        <w:rPr>
          <w:rFonts w:hint="cs"/>
          <w:rtl/>
        </w:rPr>
        <w:t xml:space="preserve"> "</w:t>
      </w:r>
      <w:r>
        <w:rPr>
          <w:rFonts w:hint="cs"/>
          <w:b/>
          <w:bCs/>
          <w:rtl/>
        </w:rPr>
        <w:t>יוֹמָא דְכִפּוּרַיָּא</w:t>
      </w:r>
      <w:r>
        <w:rPr>
          <w:rFonts w:hint="cs"/>
          <w:rtl/>
        </w:rPr>
        <w:t>"), ונראה ששם המסכת "יומא" הוא שם מקוצר</w:t>
      </w:r>
      <w:r>
        <w:rPr>
          <w:rStyle w:val="a9"/>
          <w:rtl/>
        </w:rPr>
        <w:endnoteReference w:id="8"/>
      </w:r>
      <w:r>
        <w:rPr>
          <w:rFonts w:hint="cs"/>
          <w:rtl/>
        </w:rPr>
        <w:t xml:space="preserve">, ללא המילה השניה </w:t>
      </w:r>
      <w:r>
        <w:rPr>
          <w:rFonts w:hint="cs"/>
          <w:color w:val="0000FF"/>
          <w:rtl/>
        </w:rPr>
        <w:t xml:space="preserve">"דכיפורי" </w:t>
      </w:r>
      <w:r>
        <w:rPr>
          <w:rFonts w:hint="cs"/>
          <w:rtl/>
        </w:rPr>
        <w:t>(</w:t>
      </w:r>
      <w:r>
        <w:rPr>
          <w:rFonts w:hint="cs"/>
          <w:color w:val="0000FF"/>
          <w:rtl/>
        </w:rPr>
        <w:t>ר"י תמר,</w:t>
      </w:r>
      <w:r>
        <w:rPr>
          <w:rFonts w:hint="cs"/>
          <w:rtl/>
        </w:rPr>
        <w:t xml:space="preserve"> עלי תמר, עמ' שטו), או אולי שם זה קוצר מכינוי אחר של יום הַכיפורִים: "</w:t>
      </w:r>
      <w:r>
        <w:rPr>
          <w:rFonts w:hint="cs"/>
          <w:b/>
          <w:bCs/>
          <w:rtl/>
        </w:rPr>
        <w:t>יומא רבה</w:t>
      </w:r>
      <w:r>
        <w:rPr>
          <w:rFonts w:hint="cs"/>
          <w:rtl/>
        </w:rPr>
        <w:t xml:space="preserve">" (="היום הגדול"; ראה </w:t>
      </w:r>
      <w:r>
        <w:rPr>
          <w:rFonts w:hint="cs"/>
          <w:color w:val="0000FF"/>
          <w:rtl/>
        </w:rPr>
        <w:t>בבלי</w:t>
      </w:r>
      <w:r>
        <w:rPr>
          <w:rFonts w:hint="cs"/>
          <w:rtl/>
        </w:rPr>
        <w:t xml:space="preserve"> ראש השנה כא/א</w:t>
      </w:r>
      <w:r>
        <w:rPr>
          <w:rStyle w:val="a9"/>
          <w:rtl/>
        </w:rPr>
        <w:endnoteReference w:id="9"/>
      </w:r>
      <w:r>
        <w:rPr>
          <w:rFonts w:hint="cs"/>
          <w:rtl/>
        </w:rPr>
        <w:t xml:space="preserve">). </w:t>
      </w:r>
    </w:p>
    <w:p w14:paraId="175FB41D" w14:textId="77777777" w:rsidR="003529C6" w:rsidRDefault="003529C6">
      <w:pPr>
        <w:rPr>
          <w:rFonts w:hint="cs"/>
          <w:rtl/>
        </w:rPr>
      </w:pPr>
      <w:r>
        <w:rPr>
          <w:rFonts w:hint="cs"/>
          <w:rtl/>
        </w:rPr>
        <w:t>ברם, יתכן שאין "יומא" שם מקוצר, אלא תרגומו "</w:t>
      </w:r>
      <w:r>
        <w:rPr>
          <w:rFonts w:hint="cs"/>
          <w:b/>
          <w:bCs/>
          <w:rtl/>
        </w:rPr>
        <w:t>הַ</w:t>
      </w:r>
      <w:r>
        <w:rPr>
          <w:rFonts w:hint="cs"/>
          <w:rtl/>
        </w:rPr>
        <w:t xml:space="preserve">יּום", </w:t>
      </w:r>
      <w:r>
        <w:rPr>
          <w:rFonts w:hint="cs"/>
          <w:b/>
          <w:bCs/>
          <w:rtl/>
        </w:rPr>
        <w:t>היום הידוע</w:t>
      </w:r>
      <w:r>
        <w:rPr>
          <w:rFonts w:hint="cs"/>
          <w:rtl/>
        </w:rPr>
        <w:t>, ו</w:t>
      </w:r>
      <w:r>
        <w:rPr>
          <w:rFonts w:hint="cs"/>
          <w:color w:val="0000FF"/>
          <w:sz w:val="18"/>
          <w:szCs w:val="20"/>
          <w:rtl/>
        </w:rPr>
        <w:t>הכל יודעים ש</w:t>
      </w:r>
      <w:r>
        <w:rPr>
          <w:rFonts w:hint="cs"/>
          <w:rtl/>
        </w:rPr>
        <w:t xml:space="preserve">סתם "היום" - יום הכיפורים הוא. </w:t>
      </w:r>
    </w:p>
    <w:p w14:paraId="4D8D734F" w14:textId="77777777" w:rsidR="003529C6" w:rsidRDefault="003529C6">
      <w:pPr>
        <w:rPr>
          <w:rFonts w:hint="cs"/>
          <w:color w:val="0000FF"/>
          <w:rtl/>
        </w:rPr>
      </w:pPr>
      <w:r>
        <w:rPr>
          <w:rFonts w:hint="cs"/>
          <w:color w:val="0000FF"/>
          <w:rtl/>
        </w:rPr>
        <w:t xml:space="preserve">וזאת לדעת, כי לעומת העברית, המיידעת מִלים בעזרת </w:t>
      </w:r>
      <w:r>
        <w:rPr>
          <w:rFonts w:hint="cs"/>
          <w:b/>
          <w:bCs/>
          <w:color w:val="0000FF"/>
          <w:rtl/>
        </w:rPr>
        <w:t xml:space="preserve">ה' </w:t>
      </w:r>
      <w:r>
        <w:rPr>
          <w:rFonts w:hint="cs"/>
          <w:color w:val="0000FF"/>
          <w:rtl/>
        </w:rPr>
        <w:t xml:space="preserve">הידיעה </w:t>
      </w:r>
      <w:r>
        <w:rPr>
          <w:rFonts w:hint="cs"/>
          <w:b/>
          <w:bCs/>
          <w:color w:val="0000FF"/>
          <w:rtl/>
        </w:rPr>
        <w:t xml:space="preserve">לפני </w:t>
      </w:r>
      <w:r>
        <w:rPr>
          <w:rFonts w:hint="cs"/>
          <w:color w:val="0000FF"/>
          <w:rtl/>
        </w:rPr>
        <w:t xml:space="preserve">המילה, בארמית מיידעים מִלים בעזרת </w:t>
      </w:r>
      <w:r>
        <w:rPr>
          <w:rFonts w:hint="cs"/>
          <w:b/>
          <w:bCs/>
          <w:color w:val="0000FF"/>
          <w:rtl/>
        </w:rPr>
        <w:t xml:space="preserve">א' בסוף </w:t>
      </w:r>
      <w:r>
        <w:rPr>
          <w:rFonts w:hint="cs"/>
          <w:color w:val="0000FF"/>
          <w:rtl/>
        </w:rPr>
        <w:t xml:space="preserve">המילה. אך, בארמית של התלמוד </w:t>
      </w:r>
      <w:r>
        <w:rPr>
          <w:rFonts w:hint="cs"/>
          <w:b/>
          <w:bCs/>
          <w:color w:val="0000FF"/>
          <w:rtl/>
        </w:rPr>
        <w:t>הבבלי</w:t>
      </w:r>
      <w:r>
        <w:rPr>
          <w:rFonts w:hint="cs"/>
          <w:color w:val="0000FF"/>
          <w:rtl/>
        </w:rPr>
        <w:t xml:space="preserve"> פעמים רבות מופיעה א' סופית של יידוע, למרות ש</w:t>
      </w:r>
      <w:r>
        <w:rPr>
          <w:rFonts w:hint="cs"/>
          <w:b/>
          <w:bCs/>
          <w:color w:val="0000FF"/>
          <w:rtl/>
        </w:rPr>
        <w:t>אין</w:t>
      </w:r>
      <w:r>
        <w:rPr>
          <w:rFonts w:hint="cs"/>
          <w:color w:val="0000FF"/>
          <w:rtl/>
        </w:rPr>
        <w:t xml:space="preserve"> כוונה ליידע (כגון "איש אחד" המתייחס לסתם אדם, מופיע בירושלמי "חד גבר", אך בתלמוד הבבלי: "חד גבר</w:t>
      </w:r>
      <w:r>
        <w:rPr>
          <w:rFonts w:hint="cs"/>
          <w:b/>
          <w:bCs/>
          <w:color w:val="0000FF"/>
          <w:rtl/>
        </w:rPr>
        <w:t>א</w:t>
      </w:r>
      <w:r>
        <w:rPr>
          <w:rFonts w:hint="cs"/>
          <w:color w:val="0000FF"/>
          <w:rtl/>
        </w:rPr>
        <w:t>"), ולכן את "יומ</w:t>
      </w:r>
      <w:r>
        <w:rPr>
          <w:rFonts w:hint="cs"/>
          <w:b/>
          <w:bCs/>
          <w:color w:val="0000FF"/>
          <w:rtl/>
        </w:rPr>
        <w:t>א</w:t>
      </w:r>
      <w:r>
        <w:rPr>
          <w:rFonts w:hint="cs"/>
          <w:color w:val="0000FF"/>
          <w:rtl/>
        </w:rPr>
        <w:t>" ניתן לפרש גם כ"היום", וגם כ"יום</w:t>
      </w:r>
      <w:r>
        <w:rPr>
          <w:rFonts w:hint="cs"/>
          <w:color w:val="0000FF"/>
          <w:vertAlign w:val="superscript"/>
          <w:rtl/>
        </w:rPr>
        <w:t>-</w:t>
      </w:r>
      <w:r>
        <w:rPr>
          <w:rFonts w:hint="cs"/>
          <w:color w:val="0000FF"/>
          <w:rtl/>
        </w:rPr>
        <w:t>" [הכיפורים/הגדול].</w:t>
      </w:r>
    </w:p>
    <w:p w14:paraId="468D6F12" w14:textId="77777777" w:rsidR="003529C6" w:rsidRDefault="003529C6">
      <w:pPr>
        <w:rPr>
          <w:rFonts w:hint="cs"/>
          <w:rtl/>
        </w:rPr>
      </w:pPr>
      <w:r>
        <w:rPr>
          <w:rFonts w:hint="cs"/>
          <w:rtl/>
        </w:rPr>
        <w:t xml:space="preserve">כדמות ראיה לאפשרות זו יש מן התרגום לאיוב ב/א "וַיְהִי </w:t>
      </w:r>
      <w:r>
        <w:rPr>
          <w:rFonts w:hint="cs"/>
          <w:b/>
          <w:bCs/>
          <w:rtl/>
        </w:rPr>
        <w:t>הַיּוֹם</w:t>
      </w:r>
      <w:r>
        <w:rPr>
          <w:rFonts w:hint="cs"/>
          <w:rtl/>
        </w:rPr>
        <w:t>": "וַהֲוָה יוֹם דִינָא רַבָּא, יוֹם שְׁבוֹק סָרְחָנַיָא" (=ויהי יום הדין הגדול, יום מחילת העוונות), שמוסב כנראה על יום הכיפורים</w:t>
      </w:r>
      <w:r>
        <w:rPr>
          <w:rStyle w:val="a9"/>
          <w:rtl/>
        </w:rPr>
        <w:endnoteReference w:id="10"/>
      </w:r>
      <w:r>
        <w:rPr>
          <w:rFonts w:hint="cs"/>
          <w:rtl/>
        </w:rPr>
        <w:t>. כמו כן, יום הכיפורים נקרא "יומא" במעשה המסופר בירושלמי (עבודה זרה פ"ב ה"ג</w:t>
      </w:r>
      <w:r>
        <w:rPr>
          <w:rStyle w:val="a9"/>
          <w:rtl/>
        </w:rPr>
        <w:endnoteReference w:id="11"/>
      </w:r>
      <w:r>
        <w:rPr>
          <w:rFonts w:hint="cs"/>
          <w:rtl/>
        </w:rPr>
        <w:t>).</w:t>
      </w:r>
    </w:p>
    <w:p w14:paraId="3AEAE96B" w14:textId="77777777" w:rsidR="003529C6" w:rsidRDefault="003529C6">
      <w:pPr>
        <w:rPr>
          <w:rFonts w:hint="cs"/>
          <w:rtl/>
        </w:rPr>
      </w:pPr>
      <w:r>
        <w:rPr>
          <w:rFonts w:hint="cs"/>
          <w:rtl/>
        </w:rPr>
        <w:t>שם נוסף למסכתנו, "סדר יומא", מצוי אצל המפרשים</w:t>
      </w:r>
      <w:r>
        <w:rPr>
          <w:rStyle w:val="a9"/>
          <w:rtl/>
        </w:rPr>
        <w:endnoteReference w:id="12"/>
      </w:r>
      <w:r>
        <w:rPr>
          <w:rFonts w:hint="cs"/>
          <w:rtl/>
        </w:rPr>
        <w:t xml:space="preserve">, ומקורו בתלמוד להלן יד/ב: "אמר ר' יוחנן: מאן תנא סדר יומא - רבי שמעון איש המצפה </w:t>
      </w:r>
      <w:r>
        <w:rPr>
          <w:rFonts w:hint="cs"/>
          <w:color w:val="0000FF"/>
          <w:rtl/>
        </w:rPr>
        <w:t>הוא</w:t>
      </w:r>
      <w:r>
        <w:rPr>
          <w:rFonts w:hint="cs"/>
          <w:rtl/>
        </w:rPr>
        <w:t>". ברם, מסתבר שבתלמוד אין זה שֵם המסכת כולה, אלא שם קבוצת המשניות המפרטות את סדר עבודת יום הכיפורי</w:t>
      </w:r>
      <w:r>
        <w:rPr>
          <w:rFonts w:hint="eastAsia"/>
          <w:rtl/>
        </w:rPr>
        <w:t>ם</w:t>
      </w:r>
      <w:r>
        <w:rPr>
          <w:rStyle w:val="a9"/>
          <w:rtl/>
        </w:rPr>
        <w:endnoteReference w:id="13"/>
      </w:r>
      <w:r>
        <w:rPr>
          <w:rFonts w:hint="cs"/>
          <w:rtl/>
        </w:rPr>
        <w:t>. במשנה שלהלן (</w:t>
      </w:r>
      <w:r>
        <w:rPr>
          <w:rFonts w:hint="cs"/>
          <w:color w:val="0000FF"/>
          <w:rtl/>
        </w:rPr>
        <w:t>פ"א מ"ג;</w:t>
      </w:r>
      <w:r>
        <w:rPr>
          <w:rFonts w:hint="cs"/>
          <w:rtl/>
        </w:rPr>
        <w:t xml:space="preserve"> יח/א) מופיע המונח המקביל בעברית: "וקורין לפניו ב</w:t>
      </w:r>
      <w:r>
        <w:rPr>
          <w:rFonts w:hint="cs"/>
          <w:b/>
          <w:bCs/>
          <w:rtl/>
        </w:rPr>
        <w:t>סדר היום</w:t>
      </w:r>
      <w:r>
        <w:rPr>
          <w:rFonts w:hint="cs"/>
          <w:rtl/>
        </w:rPr>
        <w:t>", שם מדובר על סדר עבודת יום הכיפורי</w:t>
      </w:r>
      <w:r>
        <w:rPr>
          <w:rFonts w:hint="eastAsia"/>
          <w:rtl/>
        </w:rPr>
        <w:t>ם</w:t>
      </w:r>
      <w:r>
        <w:rPr>
          <w:rFonts w:hint="cs"/>
          <w:rtl/>
        </w:rPr>
        <w:t xml:space="preserve"> הכתוב בפרשת אחרי מות </w:t>
      </w:r>
      <w:r>
        <w:rPr>
          <w:rFonts w:hint="cs"/>
          <w:color w:val="0000FF"/>
          <w:rtl/>
        </w:rPr>
        <w:t>(רש"י שם)</w:t>
      </w:r>
      <w:r>
        <w:rPr>
          <w:rFonts w:hint="cs"/>
          <w:rtl/>
        </w:rPr>
        <w:t>.</w:t>
      </w:r>
    </w:p>
    <w:p w14:paraId="61098C94" w14:textId="77777777" w:rsidR="003529C6" w:rsidRDefault="003529C6">
      <w:pPr>
        <w:rPr>
          <w:rFonts w:hint="cs"/>
          <w:rtl/>
        </w:rPr>
      </w:pPr>
      <w:r>
        <w:rPr>
          <w:rFonts w:hint="cs"/>
          <w:rtl/>
        </w:rPr>
        <w:lastRenderedPageBreak/>
        <w:t>לסיום, נעיר כי נכון לבטא "</w:t>
      </w:r>
      <w:r>
        <w:rPr>
          <w:rFonts w:hint="cs"/>
          <w:b/>
          <w:bCs/>
          <w:rtl/>
        </w:rPr>
        <w:t>יוֹ</w:t>
      </w:r>
      <w:r>
        <w:rPr>
          <w:rFonts w:hint="cs"/>
          <w:rtl/>
        </w:rPr>
        <w:t>מָא" (</w:t>
      </w:r>
      <w:r>
        <w:rPr>
          <w:rFonts w:hint="cs"/>
          <w:b/>
          <w:bCs/>
          <w:color w:val="0000FF"/>
          <w:rtl/>
        </w:rPr>
        <w:t>1.</w:t>
      </w:r>
      <w:r>
        <w:rPr>
          <w:rFonts w:hint="cs"/>
          <w:b/>
          <w:bCs/>
          <w:rtl/>
        </w:rPr>
        <w:t xml:space="preserve"> </w:t>
      </w:r>
      <w:r>
        <w:rPr>
          <w:rFonts w:hint="cs"/>
          <w:rtl/>
        </w:rPr>
        <w:t xml:space="preserve">בחולם, </w:t>
      </w:r>
      <w:r>
        <w:rPr>
          <w:rFonts w:hint="cs"/>
          <w:color w:val="0000FF"/>
          <w:rtl/>
        </w:rPr>
        <w:t xml:space="preserve"> </w:t>
      </w:r>
      <w:r>
        <w:rPr>
          <w:rFonts w:hint="cs"/>
          <w:b/>
          <w:bCs/>
          <w:color w:val="0000FF"/>
          <w:rtl/>
        </w:rPr>
        <w:t>2.</w:t>
      </w:r>
      <w:r>
        <w:rPr>
          <w:rFonts w:hint="cs"/>
          <w:b/>
          <w:bCs/>
          <w:rtl/>
        </w:rPr>
        <w:t xml:space="preserve"> </w:t>
      </w:r>
      <w:r>
        <w:rPr>
          <w:rFonts w:hint="cs"/>
          <w:rtl/>
        </w:rPr>
        <w:t>ובהטעמה מלרע), כפי שמנוקד במקרא (דניאל ו/יא), וכן נוהגים רוב עדות ישראל. ההיגוי ה</w:t>
      </w:r>
      <w:r>
        <w:rPr>
          <w:rtl/>
        </w:rPr>
        <w:t>אשכנזי</w:t>
      </w:r>
      <w:r>
        <w:rPr>
          <w:rFonts w:hint="cs"/>
          <w:rtl/>
        </w:rPr>
        <w:t xml:space="preserve"> "יוּמא"</w:t>
      </w:r>
      <w:r>
        <w:rPr>
          <w:rtl/>
        </w:rPr>
        <w:t xml:space="preserve"> (יו"ד שרוקה</w:t>
      </w:r>
      <w:r>
        <w:rPr>
          <w:rFonts w:hint="cs"/>
          <w:rtl/>
        </w:rPr>
        <w:t>, ובהטעמה מלעיל</w:t>
      </w:r>
      <w:r>
        <w:rPr>
          <w:rtl/>
        </w:rPr>
        <w:t>)</w:t>
      </w:r>
      <w:r>
        <w:rPr>
          <w:rFonts w:hint="cs"/>
          <w:rtl/>
        </w:rPr>
        <w:t xml:space="preserve"> ככל הנראה משובש</w:t>
      </w:r>
      <w:r>
        <w:rPr>
          <w:rFonts w:hint="cs"/>
          <w:color w:val="0000FF"/>
          <w:rtl/>
        </w:rPr>
        <w:t>, "וכל המשנה [מניקוד המקרא] - ידו על התחתונה" / "והמוציא מניקוד המקרא - עליו הראיה"</w:t>
      </w:r>
      <w:r>
        <w:rPr>
          <w:rFonts w:hint="cs"/>
          <w:rtl/>
        </w:rPr>
        <w:t>.</w:t>
      </w:r>
    </w:p>
    <w:p w14:paraId="4662FA62" w14:textId="77777777" w:rsidR="003529C6" w:rsidRDefault="003529C6">
      <w:pPr>
        <w:pStyle w:val="a6"/>
        <w:spacing w:after="0" w:line="360" w:lineRule="auto"/>
        <w:rPr>
          <w:rFonts w:hint="cs"/>
          <w:snapToGrid/>
          <w:rtl/>
        </w:rPr>
      </w:pPr>
    </w:p>
    <w:p w14:paraId="5E2C5BAA" w14:textId="77777777" w:rsidR="003529C6" w:rsidRDefault="003529C6">
      <w:pPr>
        <w:pStyle w:val="a6"/>
        <w:spacing w:after="0" w:line="360" w:lineRule="auto"/>
        <w:rPr>
          <w:rFonts w:hint="cs"/>
          <w:snapToGrid/>
          <w:rtl/>
        </w:rPr>
      </w:pPr>
    </w:p>
    <w:p w14:paraId="66C56F55" w14:textId="77777777" w:rsidR="003529C6" w:rsidRDefault="003529C6">
      <w:pPr>
        <w:rPr>
          <w:rFonts w:hint="cs"/>
          <w:color w:val="0000FF"/>
          <w:sz w:val="20"/>
          <w:szCs w:val="22"/>
          <w:rtl/>
        </w:rPr>
      </w:pPr>
      <w:r>
        <w:rPr>
          <w:rFonts w:hint="cs"/>
          <w:color w:val="0000FF"/>
          <w:sz w:val="20"/>
          <w:szCs w:val="22"/>
          <w:rtl/>
        </w:rPr>
        <w:t>שני הסברים להיווצרות ההיגוי ה</w:t>
      </w:r>
      <w:r>
        <w:rPr>
          <w:color w:val="0000FF"/>
          <w:sz w:val="20"/>
          <w:szCs w:val="22"/>
          <w:rtl/>
        </w:rPr>
        <w:t>אשכנזי</w:t>
      </w:r>
      <w:r>
        <w:rPr>
          <w:rFonts w:hint="cs"/>
          <w:color w:val="0000FF"/>
          <w:sz w:val="20"/>
          <w:szCs w:val="22"/>
          <w:rtl/>
        </w:rPr>
        <w:t xml:space="preserve"> "יוּמא"</w:t>
      </w:r>
      <w:r>
        <w:rPr>
          <w:rStyle w:val="a9"/>
          <w:color w:val="0000FF"/>
          <w:sz w:val="18"/>
          <w:szCs w:val="20"/>
          <w:rtl/>
        </w:rPr>
        <w:endnoteReference w:id="14"/>
      </w:r>
      <w:r>
        <w:rPr>
          <w:rFonts w:hint="cs"/>
          <w:color w:val="0000FF"/>
          <w:sz w:val="20"/>
          <w:szCs w:val="22"/>
          <w:rtl/>
        </w:rPr>
        <w:t xml:space="preserve">: </w:t>
      </w:r>
    </w:p>
    <w:p w14:paraId="3F4D0345" w14:textId="77777777" w:rsidR="003529C6" w:rsidRDefault="003529C6">
      <w:pPr>
        <w:numPr>
          <w:ilvl w:val="0"/>
          <w:numId w:val="14"/>
        </w:numPr>
        <w:ind w:right="0"/>
        <w:rPr>
          <w:rFonts w:hint="cs"/>
          <w:color w:val="0000FF"/>
          <w:sz w:val="22"/>
          <w:szCs w:val="22"/>
        </w:rPr>
      </w:pPr>
      <w:r>
        <w:rPr>
          <w:rFonts w:hint="cs"/>
          <w:color w:val="0000FF"/>
          <w:sz w:val="20"/>
          <w:szCs w:val="22"/>
          <w:rtl/>
        </w:rPr>
        <w:t xml:space="preserve">פענוח מוטעה של הטקסט הנמסר בכתב (ללא מסורת על פה): </w:t>
      </w:r>
      <w:r>
        <w:rPr>
          <w:color w:val="0000FF"/>
          <w:sz w:val="20"/>
          <w:szCs w:val="22"/>
          <w:rtl/>
        </w:rPr>
        <w:t>"קריאת ברירת המחדל" של אם קריאה ו' היא שורוק, ולא חולם</w:t>
      </w:r>
      <w:r>
        <w:rPr>
          <w:rFonts w:hint="cs"/>
          <w:color w:val="0000FF"/>
          <w:sz w:val="20"/>
          <w:szCs w:val="22"/>
          <w:rtl/>
        </w:rPr>
        <w:t xml:space="preserve"> </w:t>
      </w:r>
      <w:r>
        <w:rPr>
          <w:color w:val="0000FF"/>
          <w:sz w:val="20"/>
          <w:szCs w:val="22"/>
          <w:rtl/>
        </w:rPr>
        <w:t xml:space="preserve">(השוה לקריאה האשכנזית השרוקה </w:t>
      </w:r>
      <w:r>
        <w:rPr>
          <w:b/>
          <w:bCs/>
          <w:color w:val="0000FF"/>
          <w:sz w:val="20"/>
          <w:szCs w:val="22"/>
          <w:rtl/>
        </w:rPr>
        <w:t>"לאפוּקי"</w:t>
      </w:r>
      <w:r>
        <w:rPr>
          <w:color w:val="0000FF"/>
          <w:sz w:val="20"/>
          <w:szCs w:val="22"/>
          <w:rtl/>
        </w:rPr>
        <w:t xml:space="preserve">, במקום </w:t>
      </w:r>
      <w:r>
        <w:rPr>
          <w:b/>
          <w:bCs/>
          <w:color w:val="0000FF"/>
          <w:sz w:val="20"/>
          <w:szCs w:val="22"/>
          <w:rtl/>
        </w:rPr>
        <w:t>"לאפוֹקי</w:t>
      </w:r>
      <w:r>
        <w:rPr>
          <w:color w:val="0000FF"/>
          <w:sz w:val="20"/>
          <w:szCs w:val="22"/>
          <w:rtl/>
        </w:rPr>
        <w:t>" החלומה</w:t>
      </w:r>
      <w:r>
        <w:rPr>
          <w:rFonts w:hint="cs"/>
          <w:color w:val="0000FF"/>
          <w:sz w:val="20"/>
          <w:szCs w:val="22"/>
          <w:rtl/>
        </w:rPr>
        <w:t xml:space="preserve">; וכן </w:t>
      </w:r>
      <w:r>
        <w:rPr>
          <w:color w:val="0000FF"/>
          <w:sz w:val="20"/>
          <w:szCs w:val="22"/>
          <w:rtl/>
        </w:rPr>
        <w:t>"זו</w:t>
      </w:r>
      <w:r>
        <w:rPr>
          <w:rFonts w:hint="cs"/>
          <w:color w:val="0000FF"/>
          <w:sz w:val="20"/>
          <w:szCs w:val="22"/>
          <w:rtl/>
        </w:rPr>
        <w:t>ּ</w:t>
      </w:r>
      <w:r>
        <w:rPr>
          <w:color w:val="0000FF"/>
          <w:sz w:val="20"/>
          <w:szCs w:val="22"/>
          <w:rtl/>
        </w:rPr>
        <w:t>"</w:t>
      </w:r>
      <w:r>
        <w:rPr>
          <w:rFonts w:hint="cs"/>
          <w:color w:val="0000FF"/>
          <w:sz w:val="20"/>
          <w:szCs w:val="22"/>
          <w:rtl/>
        </w:rPr>
        <w:t xml:space="preserve">, </w:t>
      </w:r>
      <w:r>
        <w:rPr>
          <w:color w:val="0000FF"/>
          <w:sz w:val="20"/>
          <w:szCs w:val="22"/>
          <w:rtl/>
        </w:rPr>
        <w:t>"תערו</w:t>
      </w:r>
      <w:r>
        <w:rPr>
          <w:rFonts w:hint="cs"/>
          <w:color w:val="0000FF"/>
          <w:sz w:val="20"/>
          <w:szCs w:val="22"/>
          <w:rtl/>
        </w:rPr>
        <w:t>ּ</w:t>
      </w:r>
      <w:r>
        <w:rPr>
          <w:color w:val="0000FF"/>
          <w:sz w:val="20"/>
          <w:szCs w:val="22"/>
          <w:rtl/>
        </w:rPr>
        <w:t>בת"</w:t>
      </w:r>
      <w:r>
        <w:rPr>
          <w:rFonts w:hint="cs"/>
          <w:color w:val="0000FF"/>
          <w:sz w:val="20"/>
          <w:szCs w:val="22"/>
          <w:rtl/>
        </w:rPr>
        <w:t>, "</w:t>
      </w:r>
      <w:r>
        <w:rPr>
          <w:color w:val="0000FF"/>
          <w:sz w:val="20"/>
          <w:szCs w:val="22"/>
          <w:rtl/>
        </w:rPr>
        <w:t>בְּשׂוּרֶה</w:t>
      </w:r>
      <w:r>
        <w:rPr>
          <w:rFonts w:hint="cs"/>
          <w:color w:val="0000FF"/>
          <w:sz w:val="20"/>
          <w:szCs w:val="22"/>
          <w:rtl/>
        </w:rPr>
        <w:t>" ועוד</w:t>
      </w:r>
      <w:r>
        <w:rPr>
          <w:color w:val="0000FF"/>
          <w:sz w:val="20"/>
          <w:szCs w:val="22"/>
          <w:rtl/>
        </w:rPr>
        <w:t>).</w:t>
      </w:r>
      <w:r>
        <w:rPr>
          <w:rStyle w:val="a9"/>
          <w:color w:val="0000FF"/>
          <w:sz w:val="18"/>
          <w:szCs w:val="20"/>
          <w:rtl/>
        </w:rPr>
        <w:endnoteReference w:id="15"/>
      </w:r>
    </w:p>
    <w:p w14:paraId="08833D6B" w14:textId="77777777" w:rsidR="003529C6" w:rsidRDefault="003529C6">
      <w:pPr>
        <w:numPr>
          <w:ilvl w:val="0"/>
          <w:numId w:val="14"/>
        </w:numPr>
        <w:ind w:right="0"/>
        <w:rPr>
          <w:rFonts w:hint="cs"/>
          <w:color w:val="0000FF"/>
          <w:sz w:val="20"/>
          <w:szCs w:val="22"/>
          <w:rtl/>
          <w:lang w:eastAsia="en-US"/>
        </w:rPr>
      </w:pPr>
      <w:r>
        <w:rPr>
          <w:rFonts w:hint="cs"/>
          <w:color w:val="0000FF"/>
          <w:sz w:val="20"/>
          <w:szCs w:val="22"/>
          <w:rtl/>
        </w:rPr>
        <w:t>התפתחות "ווקאלית" של "</w:t>
      </w:r>
      <w:r>
        <w:rPr>
          <w:rFonts w:hint="cs"/>
          <w:b/>
          <w:bCs/>
          <w:color w:val="0000FF"/>
          <w:sz w:val="20"/>
          <w:szCs w:val="22"/>
          <w:rtl/>
        </w:rPr>
        <w:t>יוֹ</w:t>
      </w:r>
      <w:r>
        <w:rPr>
          <w:rFonts w:hint="cs"/>
          <w:color w:val="0000FF"/>
          <w:sz w:val="20"/>
          <w:szCs w:val="22"/>
          <w:rtl/>
        </w:rPr>
        <w:t xml:space="preserve">מָא" &gt; "יוּמא", לפי אחד ממבטאי </w:t>
      </w:r>
      <w:r>
        <w:rPr>
          <w:color w:val="0000FF"/>
          <w:sz w:val="20"/>
          <w:szCs w:val="22"/>
          <w:rtl/>
        </w:rPr>
        <w:t xml:space="preserve">החולם האשכנזי </w:t>
      </w:r>
      <w:r>
        <w:rPr>
          <w:rFonts w:hint="cs"/>
          <w:color w:val="0000FF"/>
          <w:sz w:val="20"/>
          <w:szCs w:val="22"/>
          <w:rtl/>
        </w:rPr>
        <w:t>["</w:t>
      </w:r>
      <w:r>
        <w:rPr>
          <w:rFonts w:hint="cs"/>
          <w:color w:val="0000FF"/>
          <w:sz w:val="20"/>
          <w:szCs w:val="22"/>
          <w:rtl/>
          <w:lang w:eastAsia="en-US"/>
        </w:rPr>
        <w:t>אָאוּ"</w:t>
      </w:r>
      <w:r>
        <w:rPr>
          <w:rFonts w:hint="cs"/>
          <w:color w:val="0000FF"/>
          <w:sz w:val="16"/>
          <w:szCs w:val="18"/>
          <w:rtl/>
          <w:lang w:eastAsia="en-US"/>
        </w:rPr>
        <w:t xml:space="preserve">, כמו במלים: </w:t>
      </w:r>
      <w:r>
        <w:rPr>
          <w:color w:val="0000FF"/>
          <w:sz w:val="18"/>
          <w:szCs w:val="18"/>
          <w:lang w:eastAsia="en-US"/>
        </w:rPr>
        <w:t>[sn]ow</w:t>
      </w:r>
      <w:r>
        <w:rPr>
          <w:rFonts w:hint="cs"/>
          <w:color w:val="0000FF"/>
          <w:sz w:val="16"/>
          <w:szCs w:val="18"/>
          <w:rtl/>
          <w:lang w:eastAsia="en-US"/>
        </w:rPr>
        <w:t xml:space="preserve">, </w:t>
      </w:r>
      <w:r>
        <w:rPr>
          <w:color w:val="0000FF"/>
          <w:sz w:val="18"/>
          <w:szCs w:val="18"/>
          <w:lang w:eastAsia="en-US"/>
        </w:rPr>
        <w:t>[g]o</w:t>
      </w:r>
      <w:r>
        <w:rPr>
          <w:rFonts w:hint="cs"/>
          <w:color w:val="0000FF"/>
          <w:sz w:val="16"/>
          <w:szCs w:val="18"/>
          <w:rtl/>
          <w:lang w:eastAsia="en-US"/>
        </w:rPr>
        <w:t xml:space="preserve"> באנגלית</w:t>
      </w:r>
      <w:r>
        <w:rPr>
          <w:rFonts w:hint="cs"/>
          <w:color w:val="0000FF"/>
          <w:sz w:val="20"/>
          <w:szCs w:val="22"/>
          <w:rtl/>
        </w:rPr>
        <w:t>]</w:t>
      </w:r>
      <w:r>
        <w:rPr>
          <w:color w:val="0000FF"/>
          <w:sz w:val="20"/>
          <w:szCs w:val="22"/>
          <w:rtl/>
        </w:rPr>
        <w:t xml:space="preserve">, </w:t>
      </w:r>
      <w:r>
        <w:rPr>
          <w:rFonts w:hint="cs"/>
          <w:color w:val="0000FF"/>
          <w:sz w:val="20"/>
          <w:szCs w:val="22"/>
          <w:rtl/>
        </w:rPr>
        <w:t xml:space="preserve">שבפי יהודי דרום גרמניה, </w:t>
      </w:r>
      <w:r>
        <w:rPr>
          <w:rFonts w:hint="cs"/>
          <w:color w:val="0000FF"/>
          <w:sz w:val="20"/>
          <w:szCs w:val="22"/>
          <w:rtl/>
          <w:lang w:eastAsia="en-US"/>
        </w:rPr>
        <w:t>צרפת, לטביה וארצות דוברות אנגלית</w:t>
      </w:r>
      <w:r>
        <w:rPr>
          <w:rStyle w:val="a9"/>
          <w:color w:val="0000FF"/>
          <w:sz w:val="18"/>
          <w:szCs w:val="20"/>
          <w:rtl/>
          <w:lang w:eastAsia="en-US"/>
        </w:rPr>
        <w:endnoteReference w:id="16"/>
      </w:r>
      <w:r>
        <w:rPr>
          <w:rFonts w:hint="cs"/>
          <w:color w:val="0000FF"/>
          <w:sz w:val="20"/>
          <w:szCs w:val="22"/>
          <w:rtl/>
        </w:rPr>
        <w:t xml:space="preserve"> (הצעת ידידי, י' לויפר). כלומר דו </w:t>
      </w:r>
      <w:r>
        <w:rPr>
          <w:rFonts w:hint="cs"/>
          <w:color w:val="0000FF"/>
          <w:sz w:val="20"/>
          <w:szCs w:val="22"/>
          <w:rtl/>
          <w:lang w:eastAsia="en-US"/>
        </w:rPr>
        <w:t xml:space="preserve">תנועה </w:t>
      </w:r>
      <w:r>
        <w:rPr>
          <w:color w:val="0000FF"/>
          <w:sz w:val="20"/>
          <w:szCs w:val="22"/>
          <w:lang w:eastAsia="en-US"/>
        </w:rPr>
        <w:t>ow</w:t>
      </w:r>
      <w:r>
        <w:rPr>
          <w:rFonts w:hint="cs"/>
          <w:color w:val="0000FF"/>
          <w:sz w:val="20"/>
          <w:szCs w:val="22"/>
          <w:rtl/>
          <w:lang w:eastAsia="en-US"/>
        </w:rPr>
        <w:t xml:space="preserve"> יכול להתכווץ "אחורה" (</w:t>
      </w:r>
      <w:r>
        <w:rPr>
          <w:color w:val="0000FF"/>
          <w:sz w:val="20"/>
          <w:szCs w:val="22"/>
          <w:lang w:eastAsia="en-US"/>
        </w:rPr>
        <w:t>o</w:t>
      </w:r>
      <w:r>
        <w:rPr>
          <w:rFonts w:hint="cs"/>
          <w:color w:val="0000FF"/>
          <w:sz w:val="20"/>
          <w:szCs w:val="22"/>
          <w:rtl/>
          <w:lang w:eastAsia="en-US"/>
        </w:rPr>
        <w:t>) או קדימה (</w:t>
      </w:r>
      <w:r>
        <w:rPr>
          <w:color w:val="0000FF"/>
          <w:sz w:val="20"/>
          <w:szCs w:val="22"/>
          <w:lang w:eastAsia="en-US"/>
        </w:rPr>
        <w:t>w</w:t>
      </w:r>
      <w:r>
        <w:rPr>
          <w:rFonts w:hint="cs"/>
          <w:color w:val="0000FF"/>
          <w:sz w:val="20"/>
          <w:szCs w:val="22"/>
          <w:rtl/>
          <w:lang w:eastAsia="en-US"/>
        </w:rPr>
        <w:t xml:space="preserve"> &gt; </w:t>
      </w:r>
      <w:r>
        <w:rPr>
          <w:color w:val="0000FF"/>
          <w:sz w:val="20"/>
          <w:szCs w:val="22"/>
          <w:lang w:eastAsia="en-US"/>
        </w:rPr>
        <w:t>u</w:t>
      </w:r>
      <w:r>
        <w:rPr>
          <w:rFonts w:hint="cs"/>
          <w:color w:val="0000FF"/>
          <w:sz w:val="20"/>
          <w:szCs w:val="22"/>
          <w:rtl/>
          <w:lang w:eastAsia="en-US"/>
        </w:rPr>
        <w:t>).</w:t>
      </w:r>
    </w:p>
    <w:p w14:paraId="2DD7F30F" w14:textId="77777777" w:rsidR="003529C6" w:rsidRDefault="003529C6">
      <w:pPr>
        <w:rPr>
          <w:rFonts w:hint="cs"/>
          <w:color w:val="0000FF"/>
          <w:sz w:val="18"/>
          <w:szCs w:val="20"/>
          <w:rtl/>
        </w:rPr>
      </w:pPr>
      <w:r>
        <w:rPr>
          <w:rFonts w:hint="cs"/>
          <w:color w:val="0000FF"/>
          <w:sz w:val="18"/>
          <w:szCs w:val="20"/>
          <w:rtl/>
        </w:rPr>
        <w:t>ד"ר רחמים מלמד: "</w:t>
      </w:r>
      <w:r>
        <w:rPr>
          <w:color w:val="0000FF"/>
          <w:sz w:val="18"/>
          <w:szCs w:val="20"/>
          <w:rtl/>
        </w:rPr>
        <w:t>החולמים צודקים והשורקים טועים</w:t>
      </w:r>
      <w:r>
        <w:rPr>
          <w:rFonts w:hint="cs"/>
          <w:color w:val="0000FF"/>
          <w:sz w:val="18"/>
          <w:szCs w:val="20"/>
          <w:rtl/>
        </w:rPr>
        <w:t xml:space="preserve"> </w:t>
      </w:r>
      <w:r>
        <w:rPr>
          <w:color w:val="0000FF"/>
          <w:sz w:val="18"/>
          <w:szCs w:val="20"/>
          <w:rtl/>
        </w:rPr>
        <w:t>- יומא</w:t>
      </w:r>
      <w:r>
        <w:rPr>
          <w:rFonts w:hint="cs"/>
          <w:color w:val="0000FF"/>
          <w:sz w:val="18"/>
          <w:szCs w:val="20"/>
          <w:rtl/>
        </w:rPr>
        <w:t xml:space="preserve"> </w:t>
      </w:r>
      <w:r>
        <w:rPr>
          <w:color w:val="0000FF"/>
          <w:sz w:val="18"/>
          <w:szCs w:val="20"/>
          <w:rtl/>
        </w:rPr>
        <w:t>(ו</w:t>
      </w:r>
      <w:r>
        <w:rPr>
          <w:rFonts w:hint="cs"/>
          <w:color w:val="0000FF"/>
          <w:sz w:val="18"/>
          <w:szCs w:val="20"/>
          <w:rtl/>
        </w:rPr>
        <w:t>'</w:t>
      </w:r>
      <w:r>
        <w:rPr>
          <w:color w:val="0000FF"/>
          <w:sz w:val="18"/>
          <w:szCs w:val="20"/>
          <w:rtl/>
        </w:rPr>
        <w:t xml:space="preserve"> חלומה) טבא דרבנן</w:t>
      </w:r>
      <w:r>
        <w:rPr>
          <w:rFonts w:hint="cs"/>
          <w:color w:val="0000FF"/>
          <w:sz w:val="18"/>
          <w:szCs w:val="20"/>
          <w:rtl/>
        </w:rPr>
        <w:t xml:space="preserve">. </w:t>
      </w:r>
      <w:r>
        <w:rPr>
          <w:color w:val="0000FF"/>
          <w:sz w:val="18"/>
          <w:szCs w:val="20"/>
          <w:rtl/>
        </w:rPr>
        <w:t>מלרע טוב, ומלעיל לא לעילא</w:t>
      </w:r>
      <w:r>
        <w:rPr>
          <w:rFonts w:hint="cs"/>
          <w:color w:val="0000FF"/>
          <w:sz w:val="18"/>
          <w:szCs w:val="20"/>
          <w:rtl/>
        </w:rPr>
        <w:t>".</w:t>
      </w:r>
    </w:p>
    <w:sectPr w:rsidR="003529C6">
      <w:endnotePr>
        <w:numFmt w:val="decimal"/>
      </w:endnotePr>
      <w:pgSz w:w="11906" w:h="16838"/>
      <w:pgMar w:top="1134" w:right="1134" w:bottom="1134" w:left="1134"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8D9F2" w14:textId="77777777" w:rsidR="003529C6" w:rsidRDefault="003529C6">
      <w:pPr>
        <w:spacing w:line="240" w:lineRule="auto"/>
      </w:pPr>
      <w:r>
        <w:separator/>
      </w:r>
    </w:p>
  </w:endnote>
  <w:endnote w:type="continuationSeparator" w:id="0">
    <w:p w14:paraId="6046FECE" w14:textId="77777777" w:rsidR="003529C6" w:rsidRDefault="003529C6">
      <w:pPr>
        <w:spacing w:line="240" w:lineRule="auto"/>
      </w:pPr>
      <w:r>
        <w:continuationSeparator/>
      </w:r>
    </w:p>
  </w:endnote>
  <w:endnote w:id="1">
    <w:p w14:paraId="6DCD6595" w14:textId="77777777" w:rsidR="003529C6" w:rsidRDefault="003529C6">
      <w:pPr>
        <w:pStyle w:val="a8"/>
        <w:rPr>
          <w:rFonts w:hint="cs"/>
          <w:color w:val="0000FF"/>
          <w:rtl/>
        </w:rPr>
      </w:pPr>
      <w:r>
        <w:rPr>
          <w:rStyle w:val="a9"/>
          <w:color w:val="0000FF"/>
        </w:rPr>
        <w:endnoteRef/>
      </w:r>
      <w:r>
        <w:rPr>
          <w:rFonts w:hint="cs"/>
          <w:color w:val="0000FF"/>
          <w:rtl/>
        </w:rPr>
        <w:t xml:space="preserve"> אך בתוספתא כתב יד וינה ול': "כִּפּורִים", ובדפוס: מסכת יומא. </w:t>
      </w:r>
    </w:p>
    <w:p w14:paraId="7BBEE868" w14:textId="77777777" w:rsidR="003529C6" w:rsidRDefault="003529C6">
      <w:pPr>
        <w:pStyle w:val="a8"/>
        <w:rPr>
          <w:rFonts w:hint="cs"/>
          <w:color w:val="0000FF"/>
          <w:rtl/>
        </w:rPr>
      </w:pPr>
      <w:r>
        <w:rPr>
          <w:rFonts w:hint="cs"/>
          <w:color w:val="0000FF"/>
          <w:rtl/>
        </w:rPr>
        <w:t>ר"י תמר (עלי תמר, עמ' שמ) סובר שהמסכת נקראת</w:t>
      </w:r>
      <w:r>
        <w:rPr>
          <w:color w:val="0000FF"/>
        </w:rPr>
        <w:t xml:space="preserve"> </w:t>
      </w:r>
      <w:r>
        <w:rPr>
          <w:rFonts w:hint="cs"/>
          <w:color w:val="0000FF"/>
          <w:rtl/>
        </w:rPr>
        <w:t>"יום הַכיפורִים" גם בפירוש רש"י ותוס' מנחות ק (דלא כהגהת הרש"ש).</w:t>
      </w:r>
    </w:p>
  </w:endnote>
  <w:endnote w:id="2">
    <w:p w14:paraId="65E6D18B" w14:textId="77777777" w:rsidR="003529C6" w:rsidRDefault="003529C6">
      <w:pPr>
        <w:pStyle w:val="a8"/>
        <w:rPr>
          <w:rFonts w:hint="cs"/>
          <w:color w:val="0000FF"/>
          <w:rtl/>
        </w:rPr>
      </w:pPr>
      <w:r>
        <w:rPr>
          <w:rStyle w:val="a9"/>
          <w:color w:val="0000FF"/>
        </w:rPr>
        <w:endnoteRef/>
      </w:r>
      <w:r>
        <w:rPr>
          <w:rFonts w:hint="cs"/>
          <w:color w:val="0000FF"/>
          <w:rtl/>
        </w:rPr>
        <w:t xml:space="preserve"> </w:t>
      </w:r>
      <w:r>
        <w:rPr>
          <w:rFonts w:hint="cs"/>
          <w:color w:val="0000FF"/>
          <w:rtl/>
        </w:rPr>
        <w:t xml:space="preserve">"אית דבעי מימר היא דפרה היא דסוכה היא </w:t>
      </w:r>
      <w:r>
        <w:rPr>
          <w:rFonts w:hint="cs"/>
          <w:b/>
          <w:bCs/>
          <w:color w:val="0000FF"/>
          <w:rtl/>
        </w:rPr>
        <w:t>דיום הכפורים</w:t>
      </w:r>
      <w:r>
        <w:rPr>
          <w:rFonts w:hint="cs"/>
          <w:color w:val="0000FF"/>
          <w:rtl/>
        </w:rPr>
        <w:t xml:space="preserve">, ר' סימון לא אמר כן אלא אי דפרה ודסוכה חד </w:t>
      </w:r>
      <w:r>
        <w:rPr>
          <w:rFonts w:hint="cs"/>
          <w:b/>
          <w:bCs/>
          <w:color w:val="0000FF"/>
          <w:rtl/>
        </w:rPr>
        <w:t>ודכפורים</w:t>
      </w:r>
      <w:r>
        <w:rPr>
          <w:rFonts w:hint="cs"/>
          <w:color w:val="0000FF"/>
          <w:rtl/>
        </w:rPr>
        <w:t xml:space="preserve"> חד או דפרה ודכפורים חד ודסוכה חד". </w:t>
      </w:r>
    </w:p>
    <w:p w14:paraId="6301B3C3" w14:textId="77777777" w:rsidR="003529C6" w:rsidRDefault="003529C6">
      <w:pPr>
        <w:pStyle w:val="a8"/>
        <w:rPr>
          <w:rFonts w:hint="cs"/>
          <w:color w:val="0000FF"/>
          <w:rtl/>
        </w:rPr>
      </w:pPr>
      <w:r>
        <w:rPr>
          <w:rFonts w:hint="cs"/>
          <w:color w:val="0000FF"/>
          <w:rtl/>
        </w:rPr>
        <w:t xml:space="preserve">והשוה לסוכה דף כא/ב פרק ד הלכה ו: "אית דבעי מימר היא דפרה היא דסוכה היא </w:t>
      </w:r>
      <w:r>
        <w:rPr>
          <w:rFonts w:hint="cs"/>
          <w:b/>
          <w:bCs/>
          <w:color w:val="0000FF"/>
          <w:rtl/>
        </w:rPr>
        <w:t>דכיפורים</w:t>
      </w:r>
      <w:r>
        <w:rPr>
          <w:rFonts w:hint="cs"/>
          <w:color w:val="0000FF"/>
          <w:rtl/>
        </w:rPr>
        <w:t xml:space="preserve">. רבי סימון לא אמר כן אלא או דפרה ודסוכה חד. ודכיפורים חד. או דפרה </w:t>
      </w:r>
      <w:r>
        <w:rPr>
          <w:rFonts w:hint="cs"/>
          <w:b/>
          <w:bCs/>
          <w:color w:val="0000FF"/>
          <w:rtl/>
        </w:rPr>
        <w:t>ודכיפורים</w:t>
      </w:r>
      <w:r>
        <w:rPr>
          <w:rFonts w:hint="cs"/>
          <w:color w:val="0000FF"/>
          <w:rtl/>
        </w:rPr>
        <w:t xml:space="preserve"> חד. ודסוכה חד".</w:t>
      </w:r>
    </w:p>
    <w:p w14:paraId="535A19C1" w14:textId="77777777" w:rsidR="003529C6" w:rsidRDefault="003529C6">
      <w:pPr>
        <w:pStyle w:val="a8"/>
        <w:rPr>
          <w:rFonts w:hint="cs"/>
          <w:b/>
          <w:bCs/>
          <w:color w:val="0000FF"/>
          <w:rtl/>
        </w:rPr>
      </w:pPr>
      <w:r>
        <w:rPr>
          <w:rFonts w:hint="cs"/>
          <w:b/>
          <w:bCs/>
          <w:color w:val="0000FF"/>
          <w:rtl/>
        </w:rPr>
        <w:t>ר"י תמר (עלי תמר, עמ' שמ) מוכיח שאלו שמות המסכות, שהרי אמרו "סוכה" ולא "ניסוך המים"!</w:t>
      </w:r>
    </w:p>
  </w:endnote>
  <w:endnote w:id="3">
    <w:p w14:paraId="429AD9C1" w14:textId="77777777" w:rsidR="003529C6" w:rsidRDefault="003529C6">
      <w:pPr>
        <w:pStyle w:val="a8"/>
        <w:rPr>
          <w:rFonts w:hint="cs"/>
          <w:color w:val="0000FF"/>
          <w:rtl/>
        </w:rPr>
      </w:pPr>
      <w:r>
        <w:rPr>
          <w:rStyle w:val="a9"/>
          <w:color w:val="0000FF"/>
        </w:rPr>
        <w:endnoteRef/>
      </w:r>
      <w:r>
        <w:rPr>
          <w:rFonts w:hint="cs"/>
          <w:color w:val="0000FF"/>
          <w:rtl/>
        </w:rPr>
        <w:t xml:space="preserve"> </w:t>
      </w:r>
      <w:r>
        <w:rPr>
          <w:rFonts w:hint="cs"/>
          <w:color w:val="0000FF"/>
          <w:rtl/>
        </w:rPr>
        <w:t>כגון באגרת רש"ג ובפי' הגאונים לסדר טהרות.</w:t>
      </w:r>
    </w:p>
  </w:endnote>
  <w:endnote w:id="4">
    <w:p w14:paraId="49A09662" w14:textId="77777777" w:rsidR="003529C6" w:rsidRDefault="003529C6">
      <w:pPr>
        <w:pStyle w:val="a8"/>
        <w:rPr>
          <w:rFonts w:hint="cs"/>
          <w:color w:val="0000FF"/>
          <w:rtl/>
        </w:rPr>
      </w:pPr>
      <w:r>
        <w:rPr>
          <w:rStyle w:val="a9"/>
          <w:color w:val="0000FF"/>
        </w:rPr>
        <w:endnoteRef/>
      </w:r>
      <w:r>
        <w:rPr>
          <w:rFonts w:hint="cs"/>
          <w:color w:val="0000FF"/>
          <w:rtl/>
        </w:rPr>
        <w:t xml:space="preserve"> </w:t>
      </w:r>
      <w:r>
        <w:rPr>
          <w:rFonts w:hint="cs"/>
          <w:color w:val="0000FF"/>
          <w:rtl/>
        </w:rPr>
        <w:t>וכן כתב יד קימברידג' ומהדורת לו. וכן בתוספתא כתב יד ל' וינה.</w:t>
      </w:r>
    </w:p>
  </w:endnote>
  <w:endnote w:id="5">
    <w:p w14:paraId="30B5FC34" w14:textId="77777777" w:rsidR="003529C6" w:rsidRDefault="003529C6">
      <w:pPr>
        <w:pStyle w:val="a8"/>
        <w:rPr>
          <w:rFonts w:hint="cs"/>
          <w:color w:val="0000FF"/>
          <w:rtl/>
        </w:rPr>
      </w:pPr>
      <w:r>
        <w:rPr>
          <w:rStyle w:val="a9"/>
          <w:color w:val="0000FF"/>
        </w:rPr>
        <w:endnoteRef/>
      </w:r>
      <w:r>
        <w:rPr>
          <w:rFonts w:hint="cs"/>
          <w:color w:val="0000FF"/>
          <w:rtl/>
        </w:rPr>
        <w:t xml:space="preserve"> </w:t>
      </w:r>
      <w:r>
        <w:rPr>
          <w:rFonts w:hint="cs"/>
          <w:color w:val="0000FF"/>
          <w:rtl/>
        </w:rPr>
        <w:t>ר"ח אלבק בהקדמה ליומא, עמ' 217. הבבות - אינם אלא מסכת "נזיקין". אמנם: בחירתא, ביעא !</w:t>
      </w:r>
    </w:p>
  </w:endnote>
  <w:endnote w:id="6">
    <w:p w14:paraId="50991F1F" w14:textId="77777777" w:rsidR="003529C6" w:rsidRDefault="003529C6">
      <w:pPr>
        <w:pStyle w:val="a8"/>
        <w:rPr>
          <w:rFonts w:hint="cs"/>
          <w:color w:val="0000FF"/>
          <w:rtl/>
        </w:rPr>
      </w:pPr>
      <w:r>
        <w:rPr>
          <w:rStyle w:val="a9"/>
          <w:color w:val="0000FF"/>
        </w:rPr>
        <w:endnoteRef/>
      </w:r>
      <w:r>
        <w:rPr>
          <w:rFonts w:hint="cs"/>
          <w:color w:val="0000FF"/>
          <w:rtl/>
        </w:rPr>
        <w:t xml:space="preserve"> </w:t>
      </w:r>
      <w:r>
        <w:rPr>
          <w:rFonts w:hint="cs"/>
          <w:color w:val="0000FF"/>
          <w:rtl/>
        </w:rPr>
        <w:t xml:space="preserve">כגון להלן כ/א "שטן ביומא דכיפורי לית ליה רשותא לאסטוני". רק בכתובות סז/ב מופיע השם "יומא </w:t>
      </w:r>
      <w:r>
        <w:rPr>
          <w:rFonts w:hint="cs"/>
          <w:b/>
          <w:bCs/>
          <w:color w:val="0000FF"/>
          <w:rtl/>
        </w:rPr>
        <w:t>דכיפורא</w:t>
      </w:r>
      <w:r>
        <w:rPr>
          <w:rFonts w:hint="cs"/>
          <w:color w:val="0000FF"/>
          <w:rtl/>
        </w:rPr>
        <w:t xml:space="preserve">" ביחיד, שתרגומו העברי: יום </w:t>
      </w:r>
      <w:r>
        <w:rPr>
          <w:rFonts w:hint="cs"/>
          <w:b/>
          <w:bCs/>
          <w:color w:val="0000FF"/>
          <w:rtl/>
        </w:rPr>
        <w:t>כיפור</w:t>
      </w:r>
      <w:r>
        <w:rPr>
          <w:rFonts w:hint="cs"/>
          <w:color w:val="0000FF"/>
          <w:rtl/>
        </w:rPr>
        <w:t>.</w:t>
      </w:r>
    </w:p>
    <w:p w14:paraId="1D4BC600" w14:textId="77777777" w:rsidR="003529C6" w:rsidRDefault="003529C6">
      <w:pPr>
        <w:pStyle w:val="a8"/>
        <w:rPr>
          <w:rFonts w:hint="cs"/>
          <w:color w:val="0000FF"/>
          <w:rtl/>
        </w:rPr>
      </w:pPr>
      <w:r>
        <w:rPr>
          <w:rFonts w:hint="cs"/>
          <w:color w:val="0000FF"/>
          <w:rtl/>
        </w:rPr>
        <w:t xml:space="preserve">מחשבי מצא שם זה פעמים ספורות במדרשים מאוחרים, וצ"ע בשינויי נוסחאות: </w:t>
      </w:r>
    </w:p>
    <w:p w14:paraId="7EF7AA64" w14:textId="77777777" w:rsidR="003529C6" w:rsidRDefault="003529C6">
      <w:pPr>
        <w:pStyle w:val="a8"/>
        <w:ind w:left="720"/>
        <w:rPr>
          <w:rFonts w:hint="cs"/>
          <w:color w:val="0000FF"/>
          <w:rtl/>
        </w:rPr>
      </w:pPr>
      <w:r>
        <w:rPr>
          <w:rFonts w:hint="cs"/>
          <w:color w:val="0000FF"/>
          <w:rtl/>
        </w:rPr>
        <w:t>1.   ויקרא רבה פרשה כט</w:t>
      </w:r>
    </w:p>
    <w:p w14:paraId="7E50A799" w14:textId="77777777" w:rsidR="003529C6" w:rsidRDefault="003529C6">
      <w:pPr>
        <w:pStyle w:val="a8"/>
        <w:ind w:left="720"/>
        <w:rPr>
          <w:rFonts w:hint="cs"/>
          <w:color w:val="0000FF"/>
          <w:rtl/>
        </w:rPr>
      </w:pPr>
      <w:r>
        <w:rPr>
          <w:rFonts w:hint="cs"/>
          <w:color w:val="0000FF"/>
          <w:rtl/>
        </w:rPr>
        <w:t>ד"א בחדש השביעי שהוא משובע בכל גתות בתוכו ברכות בתוכו כפור בתוכו סוכה</w:t>
      </w:r>
    </w:p>
    <w:p w14:paraId="773AA0B9" w14:textId="77777777" w:rsidR="003529C6" w:rsidRDefault="003529C6">
      <w:pPr>
        <w:pStyle w:val="a8"/>
        <w:ind w:left="720"/>
        <w:rPr>
          <w:rFonts w:hint="cs"/>
          <w:color w:val="0000FF"/>
          <w:rtl/>
        </w:rPr>
      </w:pPr>
      <w:r>
        <w:rPr>
          <w:rFonts w:hint="cs"/>
          <w:color w:val="0000FF"/>
          <w:rtl/>
        </w:rPr>
        <w:t>2.   במדבר רבה פרשה יח</w:t>
      </w:r>
    </w:p>
    <w:p w14:paraId="1F34DB0F" w14:textId="77777777" w:rsidR="003529C6" w:rsidRDefault="003529C6">
      <w:pPr>
        <w:pStyle w:val="a8"/>
        <w:ind w:left="720"/>
        <w:rPr>
          <w:rFonts w:hint="cs"/>
          <w:color w:val="0000FF"/>
          <w:rtl/>
        </w:rPr>
      </w:pPr>
      <w:r>
        <w:rPr>
          <w:rFonts w:hint="cs"/>
          <w:color w:val="0000FF"/>
          <w:rtl/>
        </w:rPr>
        <w:t xml:space="preserve">שליט להלשין בכולן חוץ מיום כפור </w:t>
      </w:r>
    </w:p>
    <w:p w14:paraId="49C4A00C" w14:textId="77777777" w:rsidR="003529C6" w:rsidRDefault="003529C6">
      <w:pPr>
        <w:pStyle w:val="a8"/>
        <w:ind w:left="720"/>
        <w:rPr>
          <w:rFonts w:hint="cs"/>
          <w:color w:val="0000FF"/>
          <w:rtl/>
        </w:rPr>
      </w:pPr>
      <w:r>
        <w:rPr>
          <w:rFonts w:hint="cs"/>
          <w:color w:val="0000FF"/>
          <w:rtl/>
        </w:rPr>
        <w:t>3.   קהלת רבה פרשה י</w:t>
      </w:r>
    </w:p>
    <w:p w14:paraId="173CBEC9" w14:textId="77777777" w:rsidR="003529C6" w:rsidRDefault="003529C6">
      <w:pPr>
        <w:pStyle w:val="a8"/>
        <w:ind w:left="720"/>
        <w:rPr>
          <w:rFonts w:hint="cs"/>
          <w:color w:val="0000FF"/>
          <w:rtl/>
        </w:rPr>
      </w:pPr>
      <w:r>
        <w:rPr>
          <w:rFonts w:hint="cs"/>
          <w:color w:val="0000FF"/>
          <w:rtl/>
        </w:rPr>
        <w:t xml:space="preserve">שבע עבירות עברו באותו היום הרגו כהן ונביא ודיין ושפכו דם נקי וטמאו את העזרה ויום שבת ויום כפור היה </w:t>
      </w:r>
    </w:p>
    <w:p w14:paraId="106FD101" w14:textId="77777777" w:rsidR="003529C6" w:rsidRDefault="003529C6">
      <w:pPr>
        <w:pStyle w:val="a8"/>
        <w:ind w:left="720"/>
        <w:rPr>
          <w:rFonts w:hint="cs"/>
          <w:color w:val="0000FF"/>
          <w:rtl/>
        </w:rPr>
      </w:pPr>
      <w:r>
        <w:rPr>
          <w:rFonts w:hint="cs"/>
          <w:color w:val="0000FF"/>
          <w:rtl/>
        </w:rPr>
        <w:t>4.   ילקוט שמעוני ויקרא פרק ו סימן תפב</w:t>
      </w:r>
    </w:p>
    <w:p w14:paraId="2CB1DEBE" w14:textId="77777777" w:rsidR="003529C6" w:rsidRDefault="003529C6">
      <w:pPr>
        <w:pStyle w:val="a8"/>
        <w:ind w:left="720"/>
        <w:rPr>
          <w:rFonts w:hint="cs"/>
          <w:color w:val="0000FF"/>
          <w:rtl/>
        </w:rPr>
      </w:pPr>
      <w:r>
        <w:rPr>
          <w:rFonts w:hint="cs"/>
          <w:color w:val="0000FF"/>
          <w:rtl/>
        </w:rPr>
        <w:t xml:space="preserve">ביום כפור דאיכא חולשא דכהן גדול עבדינן מחצות. </w:t>
      </w:r>
    </w:p>
    <w:p w14:paraId="3EBAEE86" w14:textId="77777777" w:rsidR="003529C6" w:rsidRDefault="003529C6">
      <w:pPr>
        <w:pStyle w:val="a8"/>
        <w:ind w:left="720"/>
        <w:rPr>
          <w:rFonts w:hint="cs"/>
          <w:color w:val="0000FF"/>
          <w:rtl/>
        </w:rPr>
      </w:pPr>
      <w:r>
        <w:rPr>
          <w:rFonts w:hint="cs"/>
          <w:color w:val="0000FF"/>
          <w:rtl/>
        </w:rPr>
        <w:t>5.   ילקוט שמעוני ויקרא פרק ח סימן תקיט</w:t>
      </w:r>
    </w:p>
    <w:p w14:paraId="245D59CE" w14:textId="77777777" w:rsidR="003529C6" w:rsidRDefault="003529C6">
      <w:pPr>
        <w:pStyle w:val="a8"/>
        <w:ind w:left="720"/>
        <w:rPr>
          <w:rFonts w:hint="cs"/>
          <w:color w:val="0000FF"/>
          <w:rtl/>
        </w:rPr>
      </w:pPr>
      <w:r>
        <w:rPr>
          <w:rFonts w:hint="cs"/>
          <w:color w:val="0000FF"/>
          <w:rtl/>
        </w:rPr>
        <w:t xml:space="preserve">מאי ואומר וכי תימא יום כפור קמא הוא דבעי פרישה כדאשכחן במלואים </w:t>
      </w:r>
    </w:p>
    <w:p w14:paraId="2C4B067C" w14:textId="77777777" w:rsidR="003529C6" w:rsidRDefault="003529C6">
      <w:pPr>
        <w:pStyle w:val="a8"/>
        <w:ind w:left="720"/>
        <w:rPr>
          <w:rFonts w:hint="cs"/>
          <w:color w:val="0000FF"/>
          <w:rtl/>
        </w:rPr>
      </w:pPr>
      <w:r>
        <w:rPr>
          <w:rFonts w:hint="cs"/>
          <w:color w:val="0000FF"/>
          <w:rtl/>
        </w:rPr>
        <w:t>6.   ילקוט שמעוני ויקרא פרק י סימן תקכה</w:t>
      </w:r>
    </w:p>
    <w:p w14:paraId="554483EF" w14:textId="77777777" w:rsidR="003529C6" w:rsidRDefault="003529C6">
      <w:pPr>
        <w:pStyle w:val="a8"/>
        <w:ind w:left="720"/>
        <w:rPr>
          <w:rFonts w:hint="cs"/>
          <w:color w:val="0000FF"/>
          <w:rtl/>
        </w:rPr>
      </w:pPr>
      <w:r>
        <w:rPr>
          <w:rFonts w:hint="cs"/>
          <w:color w:val="0000FF"/>
          <w:rtl/>
        </w:rPr>
        <w:t>ומפני מה מזכיר מיתתן של בני אהרן ביום כפור אלא מלמד כשם שיום כפורים מכפר כך מיתתן של צדיקים מכפר.</w:t>
      </w:r>
    </w:p>
    <w:p w14:paraId="40864D34" w14:textId="77777777" w:rsidR="003529C6" w:rsidRDefault="003529C6">
      <w:pPr>
        <w:pStyle w:val="a8"/>
        <w:ind w:left="720"/>
        <w:rPr>
          <w:rFonts w:hint="cs"/>
          <w:color w:val="0000FF"/>
          <w:rtl/>
        </w:rPr>
      </w:pPr>
      <w:r>
        <w:rPr>
          <w:rFonts w:hint="cs"/>
          <w:color w:val="0000FF"/>
          <w:rtl/>
        </w:rPr>
        <w:t>7.   ילקוט שמעוני ויקרא פרק כג סימן תרמה = ילקוט שמעוני במדבר פרק כט המשך סימן תשפב</w:t>
      </w:r>
    </w:p>
    <w:p w14:paraId="7B4C9483" w14:textId="77777777" w:rsidR="003529C6" w:rsidRDefault="003529C6">
      <w:pPr>
        <w:pStyle w:val="a8"/>
        <w:ind w:left="720"/>
        <w:rPr>
          <w:rFonts w:hint="cs"/>
          <w:color w:val="0000FF"/>
          <w:rtl/>
        </w:rPr>
      </w:pPr>
      <w:r>
        <w:rPr>
          <w:rFonts w:hint="cs"/>
          <w:color w:val="0000FF"/>
          <w:rtl/>
        </w:rPr>
        <w:t xml:space="preserve">שופר בתוכו כפור בתוכו סוכה בתוכו ערבה בתוכו. </w:t>
      </w:r>
    </w:p>
    <w:p w14:paraId="43EA5083" w14:textId="77777777" w:rsidR="003529C6" w:rsidRDefault="003529C6">
      <w:pPr>
        <w:pStyle w:val="a8"/>
        <w:ind w:left="720"/>
        <w:rPr>
          <w:rFonts w:hint="cs"/>
          <w:b/>
          <w:bCs/>
          <w:color w:val="0000FF"/>
          <w:rtl/>
        </w:rPr>
      </w:pPr>
      <w:r>
        <w:rPr>
          <w:rFonts w:hint="cs"/>
          <w:b/>
          <w:bCs/>
          <w:color w:val="0000FF"/>
          <w:rtl/>
        </w:rPr>
        <w:t>8. זוהר ויקרא דף ק/ב</w:t>
      </w:r>
    </w:p>
    <w:p w14:paraId="0F1F933A" w14:textId="77777777" w:rsidR="003529C6" w:rsidRDefault="003529C6">
      <w:pPr>
        <w:pStyle w:val="a8"/>
        <w:ind w:left="720"/>
        <w:rPr>
          <w:rFonts w:hint="cs"/>
          <w:color w:val="0000FF"/>
          <w:rtl/>
        </w:rPr>
      </w:pPr>
      <w:r>
        <w:rPr>
          <w:rFonts w:hint="cs"/>
          <w:color w:val="0000FF"/>
          <w:rtl/>
        </w:rPr>
        <w:t>...</w:t>
      </w:r>
      <w:r>
        <w:rPr>
          <w:rFonts w:hint="cs"/>
          <w:b/>
          <w:bCs/>
          <w:color w:val="0000FF"/>
          <w:u w:val="single"/>
          <w:rtl/>
        </w:rPr>
        <w:t xml:space="preserve">ועל דא כתיב יום הכפורים הוא, יום כפור מבעי ליה! </w:t>
      </w:r>
      <w:r>
        <w:rPr>
          <w:rFonts w:hint="cs"/>
          <w:color w:val="0000FF"/>
          <w:rtl/>
        </w:rPr>
        <w:t>מאן יום הכפורים? אלא בגין דתרי נהורין נהרין בחד, בוצינא עלאה נהיר לבוצינא תתאה ובהאי יומא מנהורא עלאה נהיר ולא מנהורא דשמשא ובגין כך בכסה ליום חגנו כתיב.</w:t>
      </w:r>
    </w:p>
    <w:p w14:paraId="495FBF2F" w14:textId="77777777" w:rsidR="003529C6" w:rsidRDefault="003529C6">
      <w:pPr>
        <w:pStyle w:val="a8"/>
        <w:rPr>
          <w:rFonts w:hint="cs"/>
          <w:color w:val="0000FF"/>
          <w:rtl/>
        </w:rPr>
      </w:pPr>
    </w:p>
    <w:p w14:paraId="793640DE" w14:textId="77777777" w:rsidR="003529C6" w:rsidRDefault="003529C6">
      <w:pPr>
        <w:pStyle w:val="a8"/>
        <w:rPr>
          <w:rFonts w:hint="cs"/>
          <w:color w:val="0000FF"/>
          <w:rtl/>
        </w:rPr>
      </w:pPr>
      <w:r>
        <w:rPr>
          <w:rFonts w:hint="cs"/>
          <w:color w:val="0000FF"/>
          <w:rtl/>
        </w:rPr>
        <w:t xml:space="preserve">בפירוש רש"י רק למסכתות תענית (ל/ב </w:t>
      </w:r>
      <w:r>
        <w:rPr>
          <w:rFonts w:hint="cs"/>
          <w:color w:val="0000FF"/>
        </w:rPr>
        <w:t>X</w:t>
      </w:r>
      <w:r>
        <w:rPr>
          <w:rFonts w:hint="cs"/>
          <w:color w:val="0000FF"/>
          <w:rtl/>
        </w:rPr>
        <w:t>3) כריתות (ב/א; ז/א) ותמיד (לג/א).</w:t>
      </w:r>
    </w:p>
    <w:p w14:paraId="316379D6" w14:textId="77777777" w:rsidR="003529C6" w:rsidRDefault="003529C6">
      <w:pPr>
        <w:pStyle w:val="a8"/>
        <w:rPr>
          <w:rFonts w:hint="cs"/>
          <w:color w:val="0000FF"/>
          <w:rtl/>
        </w:rPr>
      </w:pPr>
      <w:r>
        <w:rPr>
          <w:rFonts w:hint="cs"/>
          <w:color w:val="0000FF"/>
          <w:rtl/>
        </w:rPr>
        <w:t>בתוס' יומא (מו/ב ד"ה כי פליגי) ביצה (ז/ב ד"ה לומר לך) מגילה (לא/ב ד"ה ראש</w:t>
      </w:r>
      <w:r>
        <w:rPr>
          <w:rFonts w:hint="cs"/>
          <w:color w:val="0000FF"/>
          <w:sz w:val="18"/>
          <w:szCs w:val="16"/>
          <w:rtl/>
        </w:rPr>
        <w:t>: בשבת שלפני יום הכפורים משום דכתיב ביה דרשו ה' בהמצאו והיינו בימי תשובה ושובה בין כפור לסוכות...שובה קודם כפור ושוש אשיש בין כפור...</w:t>
      </w:r>
      <w:r>
        <w:rPr>
          <w:rFonts w:hint="cs"/>
          <w:color w:val="0000FF"/>
          <w:rtl/>
        </w:rPr>
        <w:t>).</w:t>
      </w:r>
    </w:p>
    <w:p w14:paraId="5045E3E1" w14:textId="77777777" w:rsidR="003529C6" w:rsidRDefault="003529C6">
      <w:pPr>
        <w:pStyle w:val="a8"/>
        <w:rPr>
          <w:color w:val="0000FF"/>
          <w:rtl/>
        </w:rPr>
      </w:pPr>
      <w:r>
        <w:rPr>
          <w:rFonts w:hint="cs"/>
          <w:color w:val="0000FF"/>
          <w:rtl/>
        </w:rPr>
        <w:t>במשנה תורה לרמב"ם (</w:t>
      </w:r>
      <w:r>
        <w:rPr>
          <w:rFonts w:hint="cs"/>
          <w:color w:val="0000FF"/>
        </w:rPr>
        <w:t>X</w:t>
      </w:r>
      <w:r>
        <w:rPr>
          <w:rFonts w:hint="cs"/>
          <w:color w:val="0000FF"/>
          <w:rtl/>
        </w:rPr>
        <w:t>3) ובטור (</w:t>
      </w:r>
      <w:r>
        <w:rPr>
          <w:rFonts w:hint="cs"/>
          <w:color w:val="0000FF"/>
        </w:rPr>
        <w:t>X</w:t>
      </w:r>
      <w:r>
        <w:rPr>
          <w:rFonts w:hint="cs"/>
          <w:color w:val="0000FF"/>
          <w:rtl/>
        </w:rPr>
        <w:t>10): "צום כפור". אך "יום [ה]כפור[ים]" (גם בהלכות קדוש החדש פ"ג הל' יג לפי כתבי יד!).</w:t>
      </w:r>
      <w:r>
        <w:rPr>
          <w:color w:val="0000FF"/>
          <w:rtl/>
        </w:rPr>
        <w:t xml:space="preserve"> </w:t>
      </w:r>
    </w:p>
  </w:endnote>
  <w:endnote w:id="7">
    <w:p w14:paraId="2444001D" w14:textId="77777777" w:rsidR="003529C6" w:rsidRDefault="003529C6">
      <w:pPr>
        <w:pStyle w:val="a8"/>
        <w:rPr>
          <w:rFonts w:hint="cs"/>
          <w:color w:val="0000FF"/>
          <w:rtl/>
        </w:rPr>
      </w:pPr>
      <w:r>
        <w:rPr>
          <w:rStyle w:val="a9"/>
          <w:color w:val="0000FF"/>
        </w:rPr>
        <w:endnoteRef/>
      </w:r>
      <w:r>
        <w:rPr>
          <w:rFonts w:hint="cs"/>
          <w:color w:val="0000FF"/>
          <w:rtl/>
        </w:rPr>
        <w:t xml:space="preserve"> </w:t>
      </w:r>
      <w:r>
        <w:rPr>
          <w:rFonts w:hint="cs"/>
          <w:color w:val="0000FF"/>
          <w:rtl/>
        </w:rPr>
        <w:t>כגון: ויקרא כה/ט: " בְּיַרְחָא שְׁבִיעָאָה בְּעַשְרָא לְיַרְחָא בְּיוֹמָא דְכִפּוּרַיָּא תַּעַבְּרוּן שׁוֹפָרָא בְּכָל אַרְעֲכוֹן".</w:t>
      </w:r>
    </w:p>
  </w:endnote>
  <w:endnote w:id="8">
    <w:p w14:paraId="5FC5160D" w14:textId="77777777" w:rsidR="003529C6" w:rsidRDefault="003529C6">
      <w:pPr>
        <w:pStyle w:val="a8"/>
        <w:rPr>
          <w:rFonts w:hint="cs"/>
          <w:color w:val="0000FF"/>
          <w:rtl/>
        </w:rPr>
      </w:pPr>
      <w:r>
        <w:rPr>
          <w:rStyle w:val="a9"/>
          <w:color w:val="0000FF"/>
        </w:rPr>
        <w:endnoteRef/>
      </w:r>
      <w:r>
        <w:rPr>
          <w:rFonts w:hint="cs"/>
          <w:color w:val="0000FF"/>
          <w:rtl/>
        </w:rPr>
        <w:t xml:space="preserve"> </w:t>
      </w:r>
      <w:r>
        <w:rPr>
          <w:rFonts w:hint="cs"/>
          <w:color w:val="0000FF"/>
          <w:rtl/>
        </w:rPr>
        <w:t>ובעברית: "עיצומו של יום מכפר" (כגון בפי' רבינו בחיי ויקרא כג כח) - הוא קיצור: "עיצומו של יום [הכיפורים] מכפר".</w:t>
      </w:r>
    </w:p>
  </w:endnote>
  <w:endnote w:id="9">
    <w:p w14:paraId="26EBCF6F" w14:textId="77777777" w:rsidR="003529C6" w:rsidRDefault="003529C6">
      <w:pPr>
        <w:pStyle w:val="a8"/>
        <w:rPr>
          <w:rFonts w:hint="cs"/>
          <w:color w:val="0000FF"/>
          <w:sz w:val="14"/>
          <w:szCs w:val="16"/>
          <w:rtl/>
        </w:rPr>
      </w:pPr>
      <w:r>
        <w:rPr>
          <w:rStyle w:val="a9"/>
          <w:color w:val="0000FF"/>
        </w:rPr>
        <w:endnoteRef/>
      </w:r>
      <w:r>
        <w:rPr>
          <w:rFonts w:hint="cs"/>
          <w:color w:val="0000FF"/>
          <w:rtl/>
        </w:rPr>
        <w:t xml:space="preserve"> </w:t>
      </w:r>
      <w:r>
        <w:rPr>
          <w:rFonts w:hint="cs"/>
          <w:color w:val="0000FF"/>
          <w:sz w:val="18"/>
          <w:rtl/>
        </w:rPr>
        <w:t>ר"נ יתיב בתעניתא כוליה יומי דכיפורי לאורתא אתא ההוא גברא א"ל למחר יומא רבה במערבא א"ל מהיכא את א"ל מדמהריא א"ל דם תהא אחריתו קרי עליה קלים היו רודפינו</w:t>
      </w:r>
    </w:p>
  </w:endnote>
  <w:endnote w:id="10">
    <w:p w14:paraId="3F819F94" w14:textId="77777777" w:rsidR="003529C6" w:rsidRDefault="003529C6">
      <w:pPr>
        <w:pStyle w:val="a8"/>
        <w:rPr>
          <w:rFonts w:hint="cs"/>
          <w:color w:val="0000FF"/>
          <w:rtl/>
        </w:rPr>
      </w:pPr>
      <w:r>
        <w:rPr>
          <w:rStyle w:val="a9"/>
          <w:color w:val="0000FF"/>
        </w:rPr>
        <w:endnoteRef/>
      </w:r>
      <w:r>
        <w:rPr>
          <w:rFonts w:hint="cs"/>
          <w:color w:val="0000FF"/>
          <w:rtl/>
        </w:rPr>
        <w:t xml:space="preserve"> </w:t>
      </w:r>
      <w:r>
        <w:rPr>
          <w:rFonts w:hint="cs"/>
          <w:color w:val="0000FF"/>
          <w:rtl/>
        </w:rPr>
        <w:t>אא"כ מדובר על ראש השנה, וכזוהר (ר' עלי תמר, יומא עמ' שטו; ר"ה רכו).</w:t>
      </w:r>
    </w:p>
  </w:endnote>
  <w:endnote w:id="11">
    <w:p w14:paraId="6AD3CAD4" w14:textId="77777777" w:rsidR="003529C6" w:rsidRDefault="003529C6">
      <w:pPr>
        <w:pStyle w:val="a8"/>
        <w:rPr>
          <w:rFonts w:hint="cs"/>
          <w:color w:val="0000FF"/>
          <w:rtl/>
        </w:rPr>
      </w:pPr>
      <w:r>
        <w:rPr>
          <w:rStyle w:val="a9"/>
          <w:color w:val="0000FF"/>
        </w:rPr>
        <w:endnoteRef/>
      </w:r>
      <w:r>
        <w:rPr>
          <w:rFonts w:hint="cs"/>
          <w:color w:val="0000FF"/>
          <w:rtl/>
        </w:rPr>
        <w:t xml:space="preserve"> </w:t>
      </w:r>
      <w:r>
        <w:rPr>
          <w:rFonts w:hint="cs"/>
          <w:color w:val="0000FF"/>
          <w:rtl/>
        </w:rPr>
        <w:t>חד בר נש הוה ליה חד גרב מגלי בערובת צומא רבא אזל בעי למישפכיה א"ל חבריה אייתי ואנא שתי ליה א"ל מגלי הוה א"ל מריה דיומא קאים לא חשב למישתי. לא אספק מיטעם עד דאיתחלחל.</w:t>
      </w:r>
    </w:p>
  </w:endnote>
  <w:endnote w:id="12">
    <w:p w14:paraId="5A190D97" w14:textId="77777777" w:rsidR="003529C6" w:rsidRDefault="003529C6">
      <w:pPr>
        <w:pStyle w:val="a8"/>
        <w:rPr>
          <w:rFonts w:hint="cs"/>
          <w:color w:val="0000FF"/>
          <w:rtl/>
        </w:rPr>
      </w:pPr>
      <w:r>
        <w:rPr>
          <w:rStyle w:val="a9"/>
          <w:color w:val="0000FF"/>
        </w:rPr>
        <w:endnoteRef/>
      </w:r>
      <w:r>
        <w:rPr>
          <w:rFonts w:hint="cs"/>
          <w:color w:val="0000FF"/>
          <w:rtl/>
        </w:rPr>
        <w:t xml:space="preserve"> </w:t>
      </w:r>
      <w:r>
        <w:rPr>
          <w:rFonts w:hint="cs"/>
          <w:color w:val="0000FF"/>
          <w:rtl/>
        </w:rPr>
        <w:t>צ"ע אם מופיע לפני רש"י.</w:t>
      </w:r>
    </w:p>
    <w:p w14:paraId="0E2B4D53" w14:textId="77777777" w:rsidR="003529C6" w:rsidRDefault="003529C6">
      <w:pPr>
        <w:pStyle w:val="a8"/>
        <w:rPr>
          <w:rFonts w:hint="cs"/>
          <w:color w:val="0000FF"/>
          <w:sz w:val="10"/>
          <w:szCs w:val="1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4"/>
        <w:gridCol w:w="3240"/>
      </w:tblGrid>
      <w:tr w:rsidR="00A143E1" w14:paraId="3911736C" w14:textId="77777777" w:rsidTr="00A143E1">
        <w:tblPrEx>
          <w:tblCellMar>
            <w:top w:w="0" w:type="dxa"/>
            <w:bottom w:w="0" w:type="dxa"/>
          </w:tblCellMar>
        </w:tblPrEx>
        <w:tc>
          <w:tcPr>
            <w:tcW w:w="3194" w:type="dxa"/>
          </w:tcPr>
          <w:p w14:paraId="2E42191C" w14:textId="77777777" w:rsidR="00A143E1" w:rsidRDefault="00A143E1">
            <w:pPr>
              <w:rPr>
                <w:color w:val="0000FF"/>
                <w:sz w:val="16"/>
                <w:szCs w:val="16"/>
              </w:rPr>
            </w:pPr>
            <w:r>
              <w:rPr>
                <w:rFonts w:hint="cs"/>
                <w:color w:val="0000FF"/>
                <w:sz w:val="14"/>
                <w:szCs w:val="16"/>
                <w:rtl/>
              </w:rPr>
              <w:t>"</w:t>
            </w:r>
            <w:r>
              <w:rPr>
                <w:rFonts w:hint="cs"/>
                <w:b/>
                <w:bCs/>
                <w:color w:val="0000FF"/>
                <w:sz w:val="14"/>
                <w:szCs w:val="16"/>
                <w:rtl/>
              </w:rPr>
              <w:t>מסכת</w:t>
            </w:r>
            <w:r>
              <w:rPr>
                <w:rFonts w:hint="cs"/>
                <w:color w:val="0000FF"/>
                <w:sz w:val="14"/>
                <w:szCs w:val="16"/>
                <w:rtl/>
              </w:rPr>
              <w:t xml:space="preserve"> יומא" בפירוש רש"י</w:t>
            </w:r>
          </w:p>
        </w:tc>
        <w:tc>
          <w:tcPr>
            <w:tcW w:w="3240" w:type="dxa"/>
          </w:tcPr>
          <w:p w14:paraId="38CA043D" w14:textId="77777777" w:rsidR="00A143E1" w:rsidRDefault="00A143E1">
            <w:pPr>
              <w:rPr>
                <w:color w:val="0000FF"/>
                <w:sz w:val="16"/>
                <w:szCs w:val="16"/>
              </w:rPr>
            </w:pPr>
            <w:r>
              <w:rPr>
                <w:rFonts w:hint="cs"/>
                <w:color w:val="0000FF"/>
                <w:sz w:val="14"/>
                <w:szCs w:val="16"/>
                <w:rtl/>
              </w:rPr>
              <w:t>"</w:t>
            </w:r>
            <w:r>
              <w:rPr>
                <w:rFonts w:hint="cs"/>
                <w:b/>
                <w:bCs/>
                <w:color w:val="0000FF"/>
                <w:sz w:val="14"/>
                <w:szCs w:val="16"/>
                <w:rtl/>
              </w:rPr>
              <w:t>סדר</w:t>
            </w:r>
            <w:r>
              <w:rPr>
                <w:rFonts w:hint="cs"/>
                <w:color w:val="0000FF"/>
                <w:sz w:val="14"/>
                <w:szCs w:val="16"/>
                <w:rtl/>
              </w:rPr>
              <w:t xml:space="preserve"> יומא" בפירוש רש"י</w:t>
            </w:r>
          </w:p>
        </w:tc>
      </w:tr>
      <w:tr w:rsidR="00A143E1" w14:paraId="4B1A8A77" w14:textId="77777777" w:rsidTr="00A143E1">
        <w:tblPrEx>
          <w:tblCellMar>
            <w:top w:w="0" w:type="dxa"/>
            <w:bottom w:w="0" w:type="dxa"/>
          </w:tblCellMar>
        </w:tblPrEx>
        <w:tc>
          <w:tcPr>
            <w:tcW w:w="3194" w:type="dxa"/>
          </w:tcPr>
          <w:p w14:paraId="6D85D936" w14:textId="77777777" w:rsidR="00A143E1" w:rsidRDefault="00A143E1">
            <w:pPr>
              <w:rPr>
                <w:rFonts w:hint="cs"/>
                <w:color w:val="0000FF"/>
                <w:sz w:val="14"/>
                <w:szCs w:val="16"/>
                <w:rtl/>
              </w:rPr>
            </w:pPr>
            <w:r>
              <w:rPr>
                <w:rFonts w:hint="cs"/>
                <w:color w:val="0000FF"/>
                <w:sz w:val="14"/>
                <w:szCs w:val="16"/>
                <w:rtl/>
              </w:rPr>
              <w:t>ברכות 5</w:t>
            </w:r>
          </w:p>
          <w:p w14:paraId="42EAEACC" w14:textId="77777777" w:rsidR="00A143E1" w:rsidRDefault="00A143E1">
            <w:pPr>
              <w:rPr>
                <w:rFonts w:hint="cs"/>
                <w:color w:val="0000FF"/>
                <w:sz w:val="14"/>
                <w:szCs w:val="16"/>
                <w:rtl/>
              </w:rPr>
            </w:pPr>
            <w:r>
              <w:rPr>
                <w:rFonts w:hint="cs"/>
                <w:color w:val="0000FF"/>
                <w:sz w:val="14"/>
                <w:szCs w:val="16"/>
                <w:rtl/>
              </w:rPr>
              <w:t xml:space="preserve">שבת </w:t>
            </w:r>
          </w:p>
          <w:p w14:paraId="493E6974" w14:textId="77777777" w:rsidR="00A143E1" w:rsidRDefault="00A143E1">
            <w:pPr>
              <w:rPr>
                <w:rFonts w:hint="cs"/>
                <w:color w:val="0000FF"/>
                <w:sz w:val="14"/>
                <w:szCs w:val="16"/>
                <w:rtl/>
              </w:rPr>
            </w:pPr>
            <w:r>
              <w:rPr>
                <w:rFonts w:hint="cs"/>
                <w:color w:val="0000FF"/>
                <w:sz w:val="14"/>
                <w:szCs w:val="16"/>
                <w:rtl/>
              </w:rPr>
              <w:t>פסחים 3</w:t>
            </w:r>
          </w:p>
          <w:p w14:paraId="7A605CB5" w14:textId="77777777" w:rsidR="00A143E1" w:rsidRDefault="00A143E1">
            <w:pPr>
              <w:rPr>
                <w:rFonts w:hint="cs"/>
                <w:color w:val="0000FF"/>
                <w:sz w:val="14"/>
                <w:szCs w:val="16"/>
                <w:rtl/>
              </w:rPr>
            </w:pPr>
            <w:r>
              <w:rPr>
                <w:rFonts w:hint="cs"/>
                <w:b/>
                <w:bCs/>
                <w:color w:val="0000FF"/>
                <w:sz w:val="14"/>
                <w:szCs w:val="16"/>
                <w:u w:val="single"/>
                <w:rtl/>
              </w:rPr>
              <w:t>תענית</w:t>
            </w:r>
            <w:r>
              <w:rPr>
                <w:rFonts w:hint="cs"/>
                <w:color w:val="0000FF"/>
                <w:sz w:val="14"/>
                <w:szCs w:val="16"/>
                <w:rtl/>
              </w:rPr>
              <w:t xml:space="preserve"> 2</w:t>
            </w:r>
          </w:p>
          <w:p w14:paraId="5DD1763A" w14:textId="77777777" w:rsidR="00A143E1" w:rsidRDefault="00A143E1">
            <w:pPr>
              <w:rPr>
                <w:rFonts w:hint="cs"/>
                <w:color w:val="0000FF"/>
                <w:sz w:val="14"/>
                <w:szCs w:val="16"/>
                <w:rtl/>
              </w:rPr>
            </w:pPr>
            <w:r>
              <w:rPr>
                <w:rFonts w:hint="cs"/>
                <w:color w:val="0000FF"/>
                <w:sz w:val="14"/>
                <w:szCs w:val="16"/>
                <w:rtl/>
              </w:rPr>
              <w:t>מגילה 4</w:t>
            </w:r>
          </w:p>
          <w:p w14:paraId="47B16D41" w14:textId="77777777" w:rsidR="00A143E1" w:rsidRDefault="00A143E1">
            <w:pPr>
              <w:rPr>
                <w:rFonts w:hint="cs"/>
                <w:color w:val="0000FF"/>
                <w:sz w:val="14"/>
                <w:szCs w:val="16"/>
                <w:rtl/>
              </w:rPr>
            </w:pPr>
            <w:r>
              <w:rPr>
                <w:rFonts w:hint="cs"/>
                <w:color w:val="0000FF"/>
                <w:sz w:val="14"/>
                <w:szCs w:val="16"/>
                <w:rtl/>
              </w:rPr>
              <w:t xml:space="preserve">יבמות </w:t>
            </w:r>
          </w:p>
          <w:p w14:paraId="7CB93CD0" w14:textId="77777777" w:rsidR="00A143E1" w:rsidRDefault="00A143E1">
            <w:pPr>
              <w:rPr>
                <w:rFonts w:hint="cs"/>
                <w:color w:val="0000FF"/>
                <w:sz w:val="14"/>
                <w:szCs w:val="16"/>
                <w:rtl/>
              </w:rPr>
            </w:pPr>
            <w:r>
              <w:rPr>
                <w:rFonts w:hint="cs"/>
                <w:color w:val="0000FF"/>
                <w:sz w:val="14"/>
                <w:szCs w:val="16"/>
                <w:rtl/>
              </w:rPr>
              <w:t>כתובות 3</w:t>
            </w:r>
          </w:p>
          <w:p w14:paraId="695EEE79" w14:textId="77777777" w:rsidR="00A143E1" w:rsidRDefault="00A143E1">
            <w:pPr>
              <w:rPr>
                <w:rFonts w:hint="cs"/>
                <w:color w:val="0000FF"/>
                <w:sz w:val="14"/>
                <w:szCs w:val="16"/>
                <w:rtl/>
              </w:rPr>
            </w:pPr>
            <w:r>
              <w:rPr>
                <w:rFonts w:hint="cs"/>
                <w:color w:val="0000FF"/>
                <w:sz w:val="14"/>
                <w:szCs w:val="16"/>
                <w:rtl/>
              </w:rPr>
              <w:t xml:space="preserve"> גיטין </w:t>
            </w:r>
          </w:p>
          <w:p w14:paraId="79EF7BFC" w14:textId="77777777" w:rsidR="00A143E1" w:rsidRDefault="00A143E1">
            <w:pPr>
              <w:rPr>
                <w:rFonts w:hint="cs"/>
                <w:color w:val="0000FF"/>
                <w:sz w:val="14"/>
                <w:szCs w:val="16"/>
                <w:rtl/>
              </w:rPr>
            </w:pPr>
            <w:r>
              <w:rPr>
                <w:rFonts w:hint="cs"/>
                <w:color w:val="0000FF"/>
                <w:sz w:val="14"/>
                <w:szCs w:val="16"/>
                <w:rtl/>
              </w:rPr>
              <w:t xml:space="preserve">קידושין </w:t>
            </w:r>
          </w:p>
          <w:p w14:paraId="73745F31" w14:textId="77777777" w:rsidR="00A143E1" w:rsidRDefault="00A143E1">
            <w:pPr>
              <w:rPr>
                <w:rFonts w:hint="cs"/>
                <w:color w:val="0000FF"/>
                <w:sz w:val="14"/>
                <w:szCs w:val="16"/>
                <w:rtl/>
              </w:rPr>
            </w:pPr>
            <w:r>
              <w:rPr>
                <w:rFonts w:hint="cs"/>
                <w:b/>
                <w:bCs/>
                <w:color w:val="0000FF"/>
                <w:sz w:val="14"/>
                <w:szCs w:val="16"/>
                <w:u w:val="single"/>
                <w:rtl/>
              </w:rPr>
              <w:t>בבא בתרא</w:t>
            </w:r>
            <w:r>
              <w:rPr>
                <w:rFonts w:hint="cs"/>
                <w:color w:val="0000FF"/>
                <w:sz w:val="14"/>
                <w:szCs w:val="16"/>
                <w:rtl/>
              </w:rPr>
              <w:t xml:space="preserve"> 2</w:t>
            </w:r>
          </w:p>
          <w:p w14:paraId="5274C353" w14:textId="77777777" w:rsidR="00A143E1" w:rsidRDefault="00A143E1">
            <w:pPr>
              <w:rPr>
                <w:rFonts w:hint="cs"/>
                <w:color w:val="0000FF"/>
                <w:sz w:val="14"/>
                <w:szCs w:val="16"/>
                <w:rtl/>
              </w:rPr>
            </w:pPr>
            <w:r>
              <w:rPr>
                <w:rFonts w:hint="cs"/>
                <w:color w:val="0000FF"/>
                <w:sz w:val="14"/>
                <w:szCs w:val="16"/>
                <w:rtl/>
              </w:rPr>
              <w:t>סנהדרין 2-3</w:t>
            </w:r>
          </w:p>
          <w:p w14:paraId="64762FFA" w14:textId="77777777" w:rsidR="00A143E1" w:rsidRDefault="00A143E1">
            <w:pPr>
              <w:rPr>
                <w:rFonts w:hint="cs"/>
                <w:color w:val="0000FF"/>
                <w:sz w:val="14"/>
                <w:szCs w:val="16"/>
                <w:rtl/>
              </w:rPr>
            </w:pPr>
            <w:r>
              <w:rPr>
                <w:rFonts w:hint="cs"/>
                <w:color w:val="0000FF"/>
                <w:sz w:val="14"/>
                <w:szCs w:val="16"/>
                <w:rtl/>
              </w:rPr>
              <w:t>שבועות 3</w:t>
            </w:r>
          </w:p>
          <w:p w14:paraId="251B6815" w14:textId="77777777" w:rsidR="00A143E1" w:rsidRDefault="00A143E1">
            <w:pPr>
              <w:rPr>
                <w:rFonts w:hint="cs"/>
                <w:color w:val="0000FF"/>
                <w:sz w:val="14"/>
                <w:szCs w:val="16"/>
                <w:rtl/>
              </w:rPr>
            </w:pPr>
            <w:r>
              <w:rPr>
                <w:rFonts w:hint="cs"/>
                <w:color w:val="0000FF"/>
                <w:sz w:val="14"/>
                <w:szCs w:val="16"/>
                <w:rtl/>
              </w:rPr>
              <w:t>זבחים 5</w:t>
            </w:r>
          </w:p>
          <w:p w14:paraId="2774B470" w14:textId="77777777" w:rsidR="00A143E1" w:rsidRDefault="00A143E1">
            <w:pPr>
              <w:rPr>
                <w:rFonts w:hint="cs"/>
                <w:color w:val="0000FF"/>
                <w:sz w:val="14"/>
                <w:szCs w:val="16"/>
                <w:rtl/>
              </w:rPr>
            </w:pPr>
            <w:r>
              <w:rPr>
                <w:rFonts w:hint="cs"/>
                <w:color w:val="0000FF"/>
                <w:sz w:val="14"/>
                <w:szCs w:val="16"/>
                <w:rtl/>
              </w:rPr>
              <w:t>מנחות 13</w:t>
            </w:r>
          </w:p>
          <w:p w14:paraId="433AF91D" w14:textId="77777777" w:rsidR="00A143E1" w:rsidRDefault="00A143E1">
            <w:pPr>
              <w:rPr>
                <w:rFonts w:hint="cs"/>
                <w:color w:val="0000FF"/>
                <w:sz w:val="14"/>
                <w:szCs w:val="16"/>
                <w:rtl/>
              </w:rPr>
            </w:pPr>
            <w:r>
              <w:rPr>
                <w:rFonts w:hint="cs"/>
                <w:color w:val="0000FF"/>
                <w:sz w:val="14"/>
                <w:szCs w:val="16"/>
                <w:rtl/>
              </w:rPr>
              <w:t>חולין 7</w:t>
            </w:r>
          </w:p>
          <w:p w14:paraId="4873B1DD" w14:textId="77777777" w:rsidR="00A143E1" w:rsidRDefault="00A143E1">
            <w:pPr>
              <w:rPr>
                <w:rFonts w:hint="cs"/>
                <w:color w:val="0000FF"/>
                <w:sz w:val="14"/>
                <w:szCs w:val="16"/>
                <w:rtl/>
              </w:rPr>
            </w:pPr>
            <w:r>
              <w:rPr>
                <w:rFonts w:hint="cs"/>
                <w:color w:val="0000FF"/>
                <w:sz w:val="14"/>
                <w:szCs w:val="16"/>
                <w:rtl/>
              </w:rPr>
              <w:t>בכורות 3</w:t>
            </w:r>
          </w:p>
          <w:p w14:paraId="197B4D72" w14:textId="77777777" w:rsidR="00A143E1" w:rsidRDefault="00A143E1">
            <w:pPr>
              <w:rPr>
                <w:rFonts w:hint="cs"/>
                <w:color w:val="0000FF"/>
                <w:sz w:val="14"/>
                <w:szCs w:val="16"/>
                <w:rtl/>
              </w:rPr>
            </w:pPr>
            <w:r>
              <w:rPr>
                <w:rFonts w:hint="cs"/>
                <w:color w:val="0000FF"/>
                <w:sz w:val="14"/>
                <w:szCs w:val="16"/>
                <w:rtl/>
              </w:rPr>
              <w:t>ערכין 2</w:t>
            </w:r>
          </w:p>
          <w:p w14:paraId="2A56BFF1" w14:textId="77777777" w:rsidR="00A143E1" w:rsidRDefault="00A143E1">
            <w:pPr>
              <w:rPr>
                <w:rFonts w:hint="cs"/>
                <w:color w:val="0000FF"/>
                <w:sz w:val="14"/>
                <w:szCs w:val="16"/>
                <w:rtl/>
              </w:rPr>
            </w:pPr>
            <w:r>
              <w:rPr>
                <w:rFonts w:hint="cs"/>
                <w:color w:val="0000FF"/>
                <w:sz w:val="14"/>
                <w:szCs w:val="16"/>
                <w:rtl/>
              </w:rPr>
              <w:t>תמורה 6</w:t>
            </w:r>
          </w:p>
          <w:p w14:paraId="5D0E5CDC" w14:textId="77777777" w:rsidR="00A143E1" w:rsidRDefault="00A143E1">
            <w:pPr>
              <w:rPr>
                <w:color w:val="0000FF"/>
                <w:sz w:val="16"/>
                <w:szCs w:val="16"/>
              </w:rPr>
            </w:pPr>
            <w:r>
              <w:rPr>
                <w:rFonts w:hint="cs"/>
                <w:b/>
                <w:bCs/>
                <w:color w:val="0000FF"/>
                <w:sz w:val="14"/>
                <w:szCs w:val="16"/>
                <w:u w:val="single"/>
                <w:rtl/>
              </w:rPr>
              <w:t>תמיד</w:t>
            </w:r>
            <w:r>
              <w:rPr>
                <w:rFonts w:hint="cs"/>
                <w:color w:val="0000FF"/>
                <w:sz w:val="14"/>
                <w:szCs w:val="16"/>
                <w:rtl/>
              </w:rPr>
              <w:t xml:space="preserve"> 4</w:t>
            </w:r>
          </w:p>
        </w:tc>
        <w:tc>
          <w:tcPr>
            <w:tcW w:w="3240" w:type="dxa"/>
          </w:tcPr>
          <w:p w14:paraId="0B0D5BBC" w14:textId="77777777" w:rsidR="00A143E1" w:rsidRDefault="00A143E1">
            <w:pPr>
              <w:rPr>
                <w:rFonts w:hint="cs"/>
                <w:color w:val="0000FF"/>
                <w:sz w:val="14"/>
                <w:szCs w:val="16"/>
                <w:rtl/>
              </w:rPr>
            </w:pPr>
            <w:r>
              <w:rPr>
                <w:rFonts w:hint="cs"/>
                <w:color w:val="0000FF"/>
                <w:sz w:val="14"/>
                <w:szCs w:val="16"/>
                <w:rtl/>
              </w:rPr>
              <w:t>שבת 7</w:t>
            </w:r>
          </w:p>
          <w:p w14:paraId="1A84FFC9" w14:textId="77777777" w:rsidR="00A143E1" w:rsidRDefault="00A143E1">
            <w:pPr>
              <w:rPr>
                <w:rFonts w:hint="cs"/>
                <w:color w:val="0000FF"/>
                <w:sz w:val="14"/>
                <w:szCs w:val="16"/>
                <w:rtl/>
              </w:rPr>
            </w:pPr>
            <w:r>
              <w:rPr>
                <w:rFonts w:hint="cs"/>
                <w:color w:val="0000FF"/>
                <w:sz w:val="14"/>
                <w:szCs w:val="16"/>
                <w:rtl/>
              </w:rPr>
              <w:t xml:space="preserve">עירובין </w:t>
            </w:r>
          </w:p>
          <w:p w14:paraId="7B55763E" w14:textId="77777777" w:rsidR="00A143E1" w:rsidRDefault="00A143E1">
            <w:pPr>
              <w:rPr>
                <w:rFonts w:hint="cs"/>
                <w:color w:val="0000FF"/>
                <w:sz w:val="14"/>
                <w:szCs w:val="16"/>
                <w:rtl/>
              </w:rPr>
            </w:pPr>
            <w:r>
              <w:rPr>
                <w:rFonts w:hint="cs"/>
                <w:color w:val="0000FF"/>
                <w:sz w:val="14"/>
                <w:szCs w:val="16"/>
                <w:rtl/>
              </w:rPr>
              <w:t>פסחים 4</w:t>
            </w:r>
          </w:p>
          <w:p w14:paraId="18A61985" w14:textId="77777777" w:rsidR="00A143E1" w:rsidRDefault="00A143E1">
            <w:pPr>
              <w:rPr>
                <w:rFonts w:hint="cs"/>
                <w:color w:val="0000FF"/>
                <w:sz w:val="14"/>
                <w:szCs w:val="16"/>
                <w:rtl/>
              </w:rPr>
            </w:pPr>
            <w:r>
              <w:rPr>
                <w:rFonts w:hint="cs"/>
                <w:color w:val="0000FF"/>
                <w:sz w:val="14"/>
                <w:szCs w:val="16"/>
                <w:rtl/>
              </w:rPr>
              <w:t xml:space="preserve"> רשב"ם פסחים </w:t>
            </w:r>
          </w:p>
          <w:p w14:paraId="372DB37F" w14:textId="77777777" w:rsidR="00A143E1" w:rsidRDefault="00A143E1">
            <w:pPr>
              <w:rPr>
                <w:rFonts w:hint="cs"/>
                <w:color w:val="0000FF"/>
                <w:sz w:val="14"/>
                <w:szCs w:val="16"/>
                <w:rtl/>
              </w:rPr>
            </w:pPr>
            <w:r>
              <w:rPr>
                <w:rFonts w:hint="cs"/>
                <w:color w:val="0000FF"/>
                <w:sz w:val="14"/>
                <w:szCs w:val="16"/>
                <w:rtl/>
              </w:rPr>
              <w:t>יומא דף יד/ב - דף טו/א 5</w:t>
            </w:r>
          </w:p>
          <w:p w14:paraId="6F4BE11B" w14:textId="77777777" w:rsidR="00A143E1" w:rsidRDefault="00A143E1">
            <w:pPr>
              <w:rPr>
                <w:rFonts w:hint="cs"/>
                <w:color w:val="0000FF"/>
                <w:sz w:val="14"/>
                <w:szCs w:val="16"/>
                <w:rtl/>
              </w:rPr>
            </w:pPr>
            <w:r>
              <w:rPr>
                <w:rFonts w:hint="cs"/>
                <w:color w:val="0000FF"/>
                <w:sz w:val="14"/>
                <w:szCs w:val="16"/>
                <w:rtl/>
              </w:rPr>
              <w:t xml:space="preserve">יומא </w:t>
            </w:r>
          </w:p>
          <w:p w14:paraId="4D07BE12" w14:textId="77777777" w:rsidR="00A143E1" w:rsidRDefault="00A143E1">
            <w:pPr>
              <w:rPr>
                <w:rFonts w:hint="cs"/>
                <w:color w:val="0000FF"/>
                <w:sz w:val="14"/>
                <w:szCs w:val="16"/>
                <w:rtl/>
              </w:rPr>
            </w:pPr>
            <w:r>
              <w:rPr>
                <w:rFonts w:hint="cs"/>
                <w:color w:val="0000FF"/>
                <w:sz w:val="14"/>
                <w:szCs w:val="16"/>
                <w:rtl/>
              </w:rPr>
              <w:t>סוכה 9</w:t>
            </w:r>
          </w:p>
          <w:p w14:paraId="3D139CB8" w14:textId="77777777" w:rsidR="00A143E1" w:rsidRDefault="00A143E1">
            <w:pPr>
              <w:rPr>
                <w:rFonts w:hint="cs"/>
                <w:color w:val="0000FF"/>
                <w:sz w:val="14"/>
                <w:szCs w:val="16"/>
                <w:rtl/>
              </w:rPr>
            </w:pPr>
            <w:r>
              <w:rPr>
                <w:rFonts w:hint="cs"/>
                <w:color w:val="0000FF"/>
                <w:sz w:val="14"/>
                <w:szCs w:val="16"/>
                <w:rtl/>
              </w:rPr>
              <w:t xml:space="preserve">תענית </w:t>
            </w:r>
          </w:p>
          <w:p w14:paraId="34701310" w14:textId="77777777" w:rsidR="00A143E1" w:rsidRDefault="00A143E1">
            <w:pPr>
              <w:rPr>
                <w:rFonts w:hint="cs"/>
                <w:color w:val="0000FF"/>
                <w:sz w:val="14"/>
                <w:szCs w:val="16"/>
                <w:rtl/>
              </w:rPr>
            </w:pPr>
            <w:r>
              <w:rPr>
                <w:rFonts w:hint="cs"/>
                <w:color w:val="0000FF"/>
                <w:sz w:val="14"/>
                <w:szCs w:val="16"/>
                <w:rtl/>
              </w:rPr>
              <w:t xml:space="preserve">מגילה </w:t>
            </w:r>
          </w:p>
          <w:p w14:paraId="4A982CF2" w14:textId="77777777" w:rsidR="00A143E1" w:rsidRDefault="00A143E1">
            <w:pPr>
              <w:rPr>
                <w:rFonts w:hint="cs"/>
                <w:color w:val="0000FF"/>
                <w:sz w:val="14"/>
                <w:szCs w:val="16"/>
                <w:rtl/>
              </w:rPr>
            </w:pPr>
            <w:r>
              <w:rPr>
                <w:rFonts w:hint="cs"/>
                <w:color w:val="0000FF"/>
                <w:sz w:val="14"/>
                <w:szCs w:val="16"/>
                <w:rtl/>
              </w:rPr>
              <w:t xml:space="preserve">כתובות </w:t>
            </w:r>
          </w:p>
          <w:p w14:paraId="4B011B7A" w14:textId="77777777" w:rsidR="00A143E1" w:rsidRDefault="00A143E1">
            <w:pPr>
              <w:rPr>
                <w:rFonts w:hint="cs"/>
                <w:color w:val="0000FF"/>
                <w:sz w:val="14"/>
                <w:szCs w:val="16"/>
                <w:rtl/>
              </w:rPr>
            </w:pPr>
            <w:r>
              <w:rPr>
                <w:rFonts w:hint="cs"/>
                <w:color w:val="0000FF"/>
                <w:sz w:val="14"/>
                <w:szCs w:val="16"/>
                <w:rtl/>
              </w:rPr>
              <w:t>סוטה 2</w:t>
            </w:r>
          </w:p>
          <w:p w14:paraId="0487EFD1" w14:textId="77777777" w:rsidR="00A143E1" w:rsidRDefault="00A143E1">
            <w:pPr>
              <w:rPr>
                <w:rFonts w:hint="cs"/>
                <w:color w:val="0000FF"/>
                <w:sz w:val="14"/>
                <w:szCs w:val="16"/>
                <w:rtl/>
              </w:rPr>
            </w:pPr>
            <w:r>
              <w:rPr>
                <w:rFonts w:hint="cs"/>
                <w:color w:val="0000FF"/>
                <w:sz w:val="14"/>
                <w:szCs w:val="16"/>
                <w:rtl/>
              </w:rPr>
              <w:t xml:space="preserve">קידושין </w:t>
            </w:r>
          </w:p>
          <w:p w14:paraId="6E07C5E4" w14:textId="77777777" w:rsidR="00A143E1" w:rsidRDefault="00A143E1">
            <w:pPr>
              <w:rPr>
                <w:rFonts w:hint="cs"/>
                <w:color w:val="0000FF"/>
                <w:sz w:val="14"/>
                <w:szCs w:val="16"/>
                <w:rtl/>
              </w:rPr>
            </w:pPr>
            <w:r>
              <w:rPr>
                <w:rFonts w:hint="cs"/>
                <w:color w:val="0000FF"/>
                <w:sz w:val="14"/>
                <w:szCs w:val="16"/>
                <w:rtl/>
              </w:rPr>
              <w:t>בבא מציעא 3</w:t>
            </w:r>
          </w:p>
          <w:p w14:paraId="3B3FB909" w14:textId="77777777" w:rsidR="00A143E1" w:rsidRDefault="00A143E1">
            <w:pPr>
              <w:rPr>
                <w:rFonts w:hint="cs"/>
                <w:color w:val="0000FF"/>
                <w:sz w:val="14"/>
                <w:szCs w:val="16"/>
                <w:rtl/>
              </w:rPr>
            </w:pPr>
            <w:r>
              <w:rPr>
                <w:rFonts w:hint="cs"/>
                <w:color w:val="0000FF"/>
                <w:sz w:val="14"/>
                <w:szCs w:val="16"/>
                <w:rtl/>
              </w:rPr>
              <w:t xml:space="preserve">סנהדרין דף מט/ב </w:t>
            </w:r>
          </w:p>
          <w:p w14:paraId="16AA55D4" w14:textId="77777777" w:rsidR="00A143E1" w:rsidRDefault="00A143E1">
            <w:pPr>
              <w:rPr>
                <w:rFonts w:hint="cs"/>
                <w:color w:val="0000FF"/>
                <w:sz w:val="14"/>
                <w:szCs w:val="16"/>
                <w:rtl/>
              </w:rPr>
            </w:pPr>
            <w:r>
              <w:rPr>
                <w:rFonts w:hint="cs"/>
                <w:color w:val="0000FF"/>
                <w:sz w:val="14"/>
                <w:szCs w:val="16"/>
                <w:rtl/>
              </w:rPr>
              <w:t>סנהדרין 2</w:t>
            </w:r>
          </w:p>
          <w:p w14:paraId="1FAB6B67" w14:textId="77777777" w:rsidR="00A143E1" w:rsidRDefault="00A143E1">
            <w:pPr>
              <w:rPr>
                <w:rFonts w:hint="cs"/>
                <w:color w:val="0000FF"/>
                <w:sz w:val="14"/>
                <w:szCs w:val="16"/>
                <w:rtl/>
              </w:rPr>
            </w:pPr>
            <w:r>
              <w:rPr>
                <w:rFonts w:hint="cs"/>
                <w:color w:val="0000FF"/>
                <w:sz w:val="14"/>
                <w:szCs w:val="16"/>
                <w:rtl/>
              </w:rPr>
              <w:t>עבודה זרה 2</w:t>
            </w:r>
          </w:p>
          <w:p w14:paraId="0E44098A" w14:textId="77777777" w:rsidR="00A143E1" w:rsidRDefault="00A143E1">
            <w:pPr>
              <w:rPr>
                <w:rFonts w:hint="cs"/>
                <w:color w:val="0000FF"/>
                <w:sz w:val="14"/>
                <w:szCs w:val="16"/>
                <w:rtl/>
              </w:rPr>
            </w:pPr>
            <w:r>
              <w:rPr>
                <w:rFonts w:hint="cs"/>
                <w:color w:val="0000FF"/>
                <w:sz w:val="14"/>
                <w:szCs w:val="16"/>
                <w:rtl/>
              </w:rPr>
              <w:t>זבחים 30</w:t>
            </w:r>
          </w:p>
          <w:p w14:paraId="632EB2AC" w14:textId="77777777" w:rsidR="00A143E1" w:rsidRDefault="00A143E1">
            <w:pPr>
              <w:rPr>
                <w:rFonts w:hint="cs"/>
                <w:color w:val="0000FF"/>
                <w:sz w:val="14"/>
                <w:szCs w:val="16"/>
                <w:rtl/>
              </w:rPr>
            </w:pPr>
            <w:r>
              <w:rPr>
                <w:rFonts w:hint="cs"/>
                <w:color w:val="0000FF"/>
                <w:sz w:val="14"/>
                <w:szCs w:val="16"/>
                <w:rtl/>
              </w:rPr>
              <w:t>מנחות</w:t>
            </w:r>
          </w:p>
          <w:p w14:paraId="11894B87" w14:textId="77777777" w:rsidR="00A143E1" w:rsidRDefault="00A143E1">
            <w:pPr>
              <w:rPr>
                <w:rFonts w:hint="cs"/>
                <w:color w:val="0000FF"/>
                <w:sz w:val="14"/>
                <w:szCs w:val="16"/>
                <w:rtl/>
              </w:rPr>
            </w:pPr>
            <w:r>
              <w:rPr>
                <w:rFonts w:hint="cs"/>
                <w:color w:val="0000FF"/>
                <w:sz w:val="14"/>
                <w:szCs w:val="16"/>
                <w:rtl/>
              </w:rPr>
              <w:t xml:space="preserve">חולין </w:t>
            </w:r>
          </w:p>
          <w:p w14:paraId="5B2321C1" w14:textId="77777777" w:rsidR="00A143E1" w:rsidRDefault="00A143E1">
            <w:pPr>
              <w:rPr>
                <w:rFonts w:hint="cs"/>
                <w:color w:val="0000FF"/>
                <w:sz w:val="14"/>
                <w:szCs w:val="16"/>
                <w:rtl/>
              </w:rPr>
            </w:pPr>
            <w:r>
              <w:rPr>
                <w:rFonts w:hint="cs"/>
                <w:b/>
                <w:bCs/>
                <w:color w:val="0000FF"/>
                <w:sz w:val="14"/>
                <w:szCs w:val="16"/>
                <w:u w:val="single"/>
                <w:rtl/>
              </w:rPr>
              <w:t>תמיד</w:t>
            </w:r>
            <w:r>
              <w:rPr>
                <w:rFonts w:hint="cs"/>
                <w:color w:val="0000FF"/>
                <w:sz w:val="14"/>
                <w:szCs w:val="16"/>
                <w:rtl/>
              </w:rPr>
              <w:t xml:space="preserve"> 4</w:t>
            </w:r>
          </w:p>
          <w:p w14:paraId="6DD2CD4A" w14:textId="77777777" w:rsidR="00A143E1" w:rsidRDefault="00A143E1">
            <w:pPr>
              <w:rPr>
                <w:color w:val="0000FF"/>
                <w:sz w:val="16"/>
                <w:szCs w:val="16"/>
              </w:rPr>
            </w:pPr>
            <w:r>
              <w:rPr>
                <w:rFonts w:hint="cs"/>
                <w:color w:val="0000FF"/>
                <w:sz w:val="14"/>
                <w:szCs w:val="16"/>
                <w:rtl/>
              </w:rPr>
              <w:t>נדה</w:t>
            </w:r>
          </w:p>
        </w:tc>
      </w:tr>
    </w:tbl>
    <w:p w14:paraId="543ED75D" w14:textId="77777777" w:rsidR="003529C6" w:rsidRDefault="003529C6">
      <w:pPr>
        <w:pStyle w:val="a8"/>
        <w:rPr>
          <w:color w:val="0000FF"/>
          <w:rtl/>
        </w:rPr>
      </w:pPr>
    </w:p>
  </w:endnote>
  <w:endnote w:id="13">
    <w:p w14:paraId="09D8E65A" w14:textId="77777777" w:rsidR="003529C6" w:rsidRDefault="003529C6">
      <w:pPr>
        <w:pStyle w:val="a8"/>
        <w:rPr>
          <w:rFonts w:hint="cs"/>
          <w:color w:val="0000FF"/>
          <w:rtl/>
        </w:rPr>
      </w:pPr>
      <w:r>
        <w:rPr>
          <w:rStyle w:val="a9"/>
          <w:color w:val="0000FF"/>
        </w:rPr>
        <w:endnoteRef/>
      </w:r>
      <w:r>
        <w:rPr>
          <w:rFonts w:hint="cs"/>
          <w:color w:val="0000FF"/>
          <w:rtl/>
        </w:rPr>
        <w:t xml:space="preserve"> </w:t>
      </w:r>
      <w:r>
        <w:rPr>
          <w:rFonts w:hint="cs"/>
          <w:color w:val="0000FF"/>
          <w:rtl/>
        </w:rPr>
        <w:t>ולענ"ד, לא דק הרב ר' מרגליות (יסוד המשנה ועריכתה, עמ' עא; ועי"ש הערה א'!).</w:t>
      </w:r>
    </w:p>
    <w:p w14:paraId="6109BCD2" w14:textId="77777777" w:rsidR="003529C6" w:rsidRDefault="003529C6">
      <w:pPr>
        <w:pStyle w:val="a8"/>
        <w:rPr>
          <w:rFonts w:hint="cs"/>
          <w:color w:val="0000FF"/>
          <w:rtl/>
        </w:rPr>
      </w:pPr>
      <w:r>
        <w:rPr>
          <w:rFonts w:hint="cs"/>
          <w:color w:val="0000FF"/>
          <w:rtl/>
        </w:rPr>
        <w:t>והשוה גם לכינוי זה: "</w:t>
      </w:r>
      <w:r>
        <w:rPr>
          <w:rFonts w:hint="cs"/>
          <w:b/>
          <w:bCs/>
          <w:color w:val="0000FF"/>
          <w:rtl/>
        </w:rPr>
        <w:t>מַעֲשֵה יוֹם הַכִּפּוּרִים הָאָמוּר</w:t>
      </w:r>
      <w:r>
        <w:rPr>
          <w:rFonts w:hint="cs"/>
          <w:color w:val="0000FF"/>
          <w:rtl/>
        </w:rPr>
        <w:t xml:space="preserve">(ים) </w:t>
      </w:r>
      <w:r>
        <w:rPr>
          <w:rFonts w:hint="cs"/>
          <w:b/>
          <w:bCs/>
          <w:color w:val="0000FF"/>
          <w:rtl/>
        </w:rPr>
        <w:t>עַל הַסֵּדֶר</w:t>
      </w:r>
      <w:r>
        <w:rPr>
          <w:rFonts w:hint="cs"/>
          <w:color w:val="0000FF"/>
          <w:rtl/>
        </w:rPr>
        <w:t>" (יומא פ"ה מ"ז; דף ס/א).</w:t>
      </w:r>
    </w:p>
  </w:endnote>
  <w:endnote w:id="14">
    <w:p w14:paraId="4D9DB1FC" w14:textId="77777777" w:rsidR="003529C6" w:rsidRDefault="003529C6">
      <w:pPr>
        <w:pStyle w:val="a8"/>
        <w:rPr>
          <w:rFonts w:hint="cs"/>
          <w:color w:val="0000FF"/>
          <w:rtl/>
        </w:rPr>
      </w:pPr>
      <w:r>
        <w:rPr>
          <w:rStyle w:val="a9"/>
          <w:color w:val="0000FF"/>
        </w:rPr>
        <w:endnoteRef/>
      </w:r>
      <w:r>
        <w:rPr>
          <w:rFonts w:hint="cs"/>
          <w:color w:val="0000FF"/>
          <w:rtl/>
        </w:rPr>
        <w:t xml:space="preserve"> </w:t>
      </w:r>
      <w:r>
        <w:rPr>
          <w:rFonts w:hint="cs"/>
          <w:color w:val="0000FF"/>
          <w:rtl/>
        </w:rPr>
        <w:t>ח' ילון (מבוא לניקוד המשנה, עמ' 21) מכנה זאת "ספציפיות אשכנזית".</w:t>
      </w:r>
    </w:p>
  </w:endnote>
  <w:endnote w:id="15">
    <w:p w14:paraId="35C1E764" w14:textId="77777777" w:rsidR="003529C6" w:rsidRDefault="003529C6">
      <w:pPr>
        <w:pStyle w:val="a8"/>
        <w:rPr>
          <w:rFonts w:hint="cs"/>
          <w:color w:val="0000FF"/>
          <w:rtl/>
        </w:rPr>
      </w:pPr>
      <w:r>
        <w:rPr>
          <w:rStyle w:val="a9"/>
          <w:color w:val="0000FF"/>
        </w:rPr>
        <w:endnoteRef/>
      </w:r>
      <w:r>
        <w:rPr>
          <w:rFonts w:hint="cs"/>
          <w:color w:val="0000FF"/>
          <w:rtl/>
        </w:rPr>
        <w:t xml:space="preserve"> </w:t>
      </w:r>
      <w:r>
        <w:rPr>
          <w:rFonts w:hint="cs"/>
          <w:color w:val="0000FF"/>
          <w:rtl/>
        </w:rPr>
        <w:t xml:space="preserve">ד"ר </w:t>
      </w:r>
      <w:r>
        <w:rPr>
          <w:color w:val="0000FF"/>
          <w:rtl/>
        </w:rPr>
        <w:t>יוחנן</w:t>
      </w:r>
      <w:r>
        <w:rPr>
          <w:rFonts w:hint="cs"/>
          <w:color w:val="0000FF"/>
          <w:rtl/>
        </w:rPr>
        <w:t xml:space="preserve"> ברויאר: "</w:t>
      </w:r>
      <w:r>
        <w:rPr>
          <w:color w:val="0000FF"/>
          <w:rtl/>
        </w:rPr>
        <w:t xml:space="preserve">אין ספק שצדקת בסברתך. אפשר להוסיף גם "זו" שנקראת אצל האשכנזים </w:t>
      </w:r>
      <w:r>
        <w:rPr>
          <w:color w:val="0000FF"/>
        </w:rPr>
        <w:t>zu</w:t>
      </w:r>
      <w:r>
        <w:rPr>
          <w:color w:val="0000FF"/>
          <w:rtl/>
        </w:rPr>
        <w:t xml:space="preserve"> בלא כל בסיס. פעם חשבתי שגם הגיית "תערובת" בריש שרוקה אצל האשכנזים נובעת מזה, אבל היום אני סבור שהדבר נובע מצורת הריבוי המופיעה במקרא בריש בקיבוץ. אפשר שגם לוד נובעת מתופעה זו, אבל הגייה זו מתועדת כבר בכתבי יד</w:t>
      </w:r>
      <w:r>
        <w:rPr>
          <w:rFonts w:hint="cs"/>
          <w:color w:val="0000FF"/>
          <w:rtl/>
        </w:rPr>
        <w:t>"</w:t>
      </w:r>
      <w:r>
        <w:rPr>
          <w:color w:val="0000FF"/>
          <w:rtl/>
        </w:rPr>
        <w:t>.</w:t>
      </w:r>
    </w:p>
  </w:endnote>
  <w:endnote w:id="16">
    <w:p w14:paraId="6AD6AECF" w14:textId="77777777" w:rsidR="003529C6" w:rsidRDefault="003529C6">
      <w:pPr>
        <w:pStyle w:val="a8"/>
        <w:rPr>
          <w:rFonts w:hint="cs"/>
          <w:color w:val="0000FF"/>
          <w:rtl/>
        </w:rPr>
      </w:pPr>
      <w:r>
        <w:rPr>
          <w:rStyle w:val="a9"/>
          <w:color w:val="0000FF"/>
        </w:rPr>
        <w:endnoteRef/>
      </w:r>
      <w:r>
        <w:rPr>
          <w:rFonts w:hint="cs"/>
          <w:color w:val="0000FF"/>
          <w:rtl/>
        </w:rPr>
        <w:t xml:space="preserve"> </w:t>
      </w:r>
      <w:r>
        <w:rPr>
          <w:rFonts w:hint="cs"/>
          <w:color w:val="0000FF"/>
          <w:rtl/>
        </w:rPr>
        <w:t>כמבטא זה מוכח מספר הדקדוק של הגר"א מווילנה. וע"ע: הרב בנימין שלמה המבורגר, "הגיית החולם", בתוך: שרשי מנהג אשכנז, כרך א', מכון מורשת אשכנז, בני ברק, תשנ"ה, עמ' 233-264. וכן בעבודתי בנושא.</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706BE" w14:textId="77777777" w:rsidR="003529C6" w:rsidRDefault="003529C6">
      <w:pPr>
        <w:spacing w:line="240" w:lineRule="auto"/>
      </w:pPr>
      <w:r>
        <w:separator/>
      </w:r>
    </w:p>
  </w:footnote>
  <w:footnote w:type="continuationSeparator" w:id="0">
    <w:p w14:paraId="57774FE2" w14:textId="77777777" w:rsidR="003529C6" w:rsidRDefault="003529C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37E01"/>
    <w:multiLevelType w:val="hybridMultilevel"/>
    <w:tmpl w:val="04A803EE"/>
    <w:lvl w:ilvl="0" w:tplc="A2F06C88">
      <w:start w:val="5"/>
      <w:numFmt w:val="bullet"/>
      <w:lvlText w:val="-"/>
      <w:lvlJc w:val="left"/>
      <w:pPr>
        <w:tabs>
          <w:tab w:val="num" w:pos="720"/>
        </w:tabs>
        <w:ind w:left="720" w:right="720" w:hanging="360"/>
      </w:pPr>
      <w:rPr>
        <w:rFonts w:ascii="Times New Roman" w:eastAsia="Times New Roman" w:hAnsi="Times New Roman" w:cs="David"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 w15:restartNumberingAfterBreak="0">
    <w:nsid w:val="14936F39"/>
    <w:multiLevelType w:val="hybridMultilevel"/>
    <w:tmpl w:val="73EA4952"/>
    <w:lvl w:ilvl="0" w:tplc="040D000F">
      <w:start w:val="1"/>
      <w:numFmt w:val="decimal"/>
      <w:lvlText w:val="%1."/>
      <w:lvlJc w:val="left"/>
      <w:pPr>
        <w:tabs>
          <w:tab w:val="num" w:pos="720"/>
        </w:tabs>
        <w:ind w:left="720" w:right="720" w:hanging="360"/>
      </w:p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775202C"/>
    <w:multiLevelType w:val="hybridMultilevel"/>
    <w:tmpl w:val="826E4A18"/>
    <w:lvl w:ilvl="0" w:tplc="6EE6C73A">
      <w:start w:val="1"/>
      <w:numFmt w:val="hebrew1"/>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 w15:restartNumberingAfterBreak="0">
    <w:nsid w:val="18B917CA"/>
    <w:multiLevelType w:val="hybridMultilevel"/>
    <w:tmpl w:val="854ACFDC"/>
    <w:lvl w:ilvl="0" w:tplc="A162BCBA">
      <w:start w:val="1"/>
      <w:numFmt w:val="bullet"/>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4" w15:restartNumberingAfterBreak="0">
    <w:nsid w:val="1B413926"/>
    <w:multiLevelType w:val="hybridMultilevel"/>
    <w:tmpl w:val="49943484"/>
    <w:lvl w:ilvl="0" w:tplc="040D000F">
      <w:start w:val="1"/>
      <w:numFmt w:val="decimal"/>
      <w:lvlText w:val="%1."/>
      <w:lvlJc w:val="left"/>
      <w:pPr>
        <w:tabs>
          <w:tab w:val="num" w:pos="1440"/>
        </w:tabs>
        <w:ind w:left="1440" w:right="1440" w:hanging="360"/>
      </w:pPr>
    </w:lvl>
    <w:lvl w:ilvl="1" w:tplc="040D0019" w:tentative="1">
      <w:start w:val="1"/>
      <w:numFmt w:val="lowerLetter"/>
      <w:lvlText w:val="%2."/>
      <w:lvlJc w:val="left"/>
      <w:pPr>
        <w:tabs>
          <w:tab w:val="num" w:pos="2160"/>
        </w:tabs>
        <w:ind w:left="2160" w:right="2160" w:hanging="360"/>
      </w:pPr>
    </w:lvl>
    <w:lvl w:ilvl="2" w:tplc="040D001B" w:tentative="1">
      <w:start w:val="1"/>
      <w:numFmt w:val="lowerRoman"/>
      <w:lvlText w:val="%3."/>
      <w:lvlJc w:val="right"/>
      <w:pPr>
        <w:tabs>
          <w:tab w:val="num" w:pos="2880"/>
        </w:tabs>
        <w:ind w:left="2880" w:right="2880" w:hanging="180"/>
      </w:pPr>
    </w:lvl>
    <w:lvl w:ilvl="3" w:tplc="040D000F" w:tentative="1">
      <w:start w:val="1"/>
      <w:numFmt w:val="decimal"/>
      <w:lvlText w:val="%4."/>
      <w:lvlJc w:val="left"/>
      <w:pPr>
        <w:tabs>
          <w:tab w:val="num" w:pos="3600"/>
        </w:tabs>
        <w:ind w:left="3600" w:right="3600" w:hanging="360"/>
      </w:pPr>
    </w:lvl>
    <w:lvl w:ilvl="4" w:tplc="040D0019" w:tentative="1">
      <w:start w:val="1"/>
      <w:numFmt w:val="lowerLetter"/>
      <w:lvlText w:val="%5."/>
      <w:lvlJc w:val="left"/>
      <w:pPr>
        <w:tabs>
          <w:tab w:val="num" w:pos="4320"/>
        </w:tabs>
        <w:ind w:left="4320" w:right="4320" w:hanging="360"/>
      </w:pPr>
    </w:lvl>
    <w:lvl w:ilvl="5" w:tplc="040D001B" w:tentative="1">
      <w:start w:val="1"/>
      <w:numFmt w:val="lowerRoman"/>
      <w:lvlText w:val="%6."/>
      <w:lvlJc w:val="right"/>
      <w:pPr>
        <w:tabs>
          <w:tab w:val="num" w:pos="5040"/>
        </w:tabs>
        <w:ind w:left="5040" w:right="5040" w:hanging="180"/>
      </w:pPr>
    </w:lvl>
    <w:lvl w:ilvl="6" w:tplc="040D000F" w:tentative="1">
      <w:start w:val="1"/>
      <w:numFmt w:val="decimal"/>
      <w:lvlText w:val="%7."/>
      <w:lvlJc w:val="left"/>
      <w:pPr>
        <w:tabs>
          <w:tab w:val="num" w:pos="5760"/>
        </w:tabs>
        <w:ind w:left="5760" w:right="5760" w:hanging="360"/>
      </w:pPr>
    </w:lvl>
    <w:lvl w:ilvl="7" w:tplc="040D0019" w:tentative="1">
      <w:start w:val="1"/>
      <w:numFmt w:val="lowerLetter"/>
      <w:lvlText w:val="%8."/>
      <w:lvlJc w:val="left"/>
      <w:pPr>
        <w:tabs>
          <w:tab w:val="num" w:pos="6480"/>
        </w:tabs>
        <w:ind w:left="6480" w:right="6480" w:hanging="360"/>
      </w:pPr>
    </w:lvl>
    <w:lvl w:ilvl="8" w:tplc="040D001B" w:tentative="1">
      <w:start w:val="1"/>
      <w:numFmt w:val="lowerRoman"/>
      <w:lvlText w:val="%9."/>
      <w:lvlJc w:val="right"/>
      <w:pPr>
        <w:tabs>
          <w:tab w:val="num" w:pos="7200"/>
        </w:tabs>
        <w:ind w:left="7200" w:right="7200" w:hanging="180"/>
      </w:pPr>
    </w:lvl>
  </w:abstractNum>
  <w:abstractNum w:abstractNumId="5" w15:restartNumberingAfterBreak="0">
    <w:nsid w:val="20E76DFE"/>
    <w:multiLevelType w:val="hybridMultilevel"/>
    <w:tmpl w:val="F384B480"/>
    <w:lvl w:ilvl="0" w:tplc="3A9CC7FE">
      <w:start w:val="1"/>
      <w:numFmt w:val="decimal"/>
      <w:lvlText w:val="%1."/>
      <w:lvlJc w:val="left"/>
      <w:pPr>
        <w:tabs>
          <w:tab w:val="num" w:pos="750"/>
        </w:tabs>
        <w:ind w:left="750" w:right="750" w:hanging="39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6" w15:restartNumberingAfterBreak="0">
    <w:nsid w:val="326C2240"/>
    <w:multiLevelType w:val="hybridMultilevel"/>
    <w:tmpl w:val="73EA4952"/>
    <w:lvl w:ilvl="0" w:tplc="A162BCBA">
      <w:start w:val="1"/>
      <w:numFmt w:val="bullet"/>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7" w15:restartNumberingAfterBreak="0">
    <w:nsid w:val="360A67DB"/>
    <w:multiLevelType w:val="hybridMultilevel"/>
    <w:tmpl w:val="3410D698"/>
    <w:lvl w:ilvl="0" w:tplc="A162BCBA">
      <w:start w:val="1"/>
      <w:numFmt w:val="bullet"/>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8" w15:restartNumberingAfterBreak="0">
    <w:nsid w:val="3DEB2483"/>
    <w:multiLevelType w:val="hybridMultilevel"/>
    <w:tmpl w:val="9C2A710C"/>
    <w:lvl w:ilvl="0" w:tplc="A162BCBA">
      <w:start w:val="1"/>
      <w:numFmt w:val="bullet"/>
      <w:lvlText w:val=""/>
      <w:lvlJc w:val="left"/>
      <w:pPr>
        <w:tabs>
          <w:tab w:val="num" w:pos="720"/>
        </w:tabs>
        <w:ind w:left="720" w:right="720" w:hanging="360"/>
      </w:pPr>
      <w:rPr>
        <w:rFonts w:ascii="Wingdings" w:hAnsi="Wingdings" w:hint="default"/>
      </w:rPr>
    </w:lvl>
    <w:lvl w:ilvl="1" w:tplc="040D0019">
      <w:start w:val="1"/>
      <w:numFmt w:val="lowerLetter"/>
      <w:lvlText w:val="%2."/>
      <w:lvlJc w:val="left"/>
      <w:pPr>
        <w:tabs>
          <w:tab w:val="num" w:pos="1440"/>
        </w:tabs>
        <w:ind w:left="1440" w:right="1440" w:hanging="360"/>
      </w:pPr>
    </w:lvl>
    <w:lvl w:ilvl="2" w:tplc="040D001B">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9" w15:restartNumberingAfterBreak="0">
    <w:nsid w:val="4000056A"/>
    <w:multiLevelType w:val="hybridMultilevel"/>
    <w:tmpl w:val="350EB8AC"/>
    <w:lvl w:ilvl="0" w:tplc="C458E134">
      <w:start w:val="3"/>
      <w:numFmt w:val="bullet"/>
      <w:lvlText w:val="-"/>
      <w:lvlJc w:val="left"/>
      <w:pPr>
        <w:tabs>
          <w:tab w:val="num" w:pos="720"/>
        </w:tabs>
        <w:ind w:left="720" w:right="720" w:hanging="360"/>
      </w:pPr>
      <w:rPr>
        <w:rFonts w:ascii="Times New Roman" w:eastAsia="Times New Roman" w:hAnsi="Times New Roman" w:cs="David"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0" w15:restartNumberingAfterBreak="0">
    <w:nsid w:val="605D0C74"/>
    <w:multiLevelType w:val="hybridMultilevel"/>
    <w:tmpl w:val="F78AF09E"/>
    <w:lvl w:ilvl="0" w:tplc="C458E134">
      <w:start w:val="2"/>
      <w:numFmt w:val="bullet"/>
      <w:lvlText w:val="-"/>
      <w:lvlJc w:val="left"/>
      <w:pPr>
        <w:tabs>
          <w:tab w:val="num" w:pos="720"/>
        </w:tabs>
        <w:ind w:left="720" w:right="720" w:hanging="360"/>
      </w:pPr>
      <w:rPr>
        <w:rFonts w:ascii="Times New Roman" w:eastAsia="Times New Roman" w:hAnsi="Times New Roman" w:cs="David"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1" w15:restartNumberingAfterBreak="0">
    <w:nsid w:val="68E20554"/>
    <w:multiLevelType w:val="hybridMultilevel"/>
    <w:tmpl w:val="9C2A710C"/>
    <w:lvl w:ilvl="0" w:tplc="A162BCBA">
      <w:start w:val="1"/>
      <w:numFmt w:val="bullet"/>
      <w:lvlText w:val=""/>
      <w:lvlJc w:val="left"/>
      <w:pPr>
        <w:tabs>
          <w:tab w:val="num" w:pos="3600"/>
        </w:tabs>
        <w:ind w:left="3600" w:right="3600" w:hanging="360"/>
      </w:pPr>
      <w:rPr>
        <w:rFonts w:ascii="Wingdings" w:hAnsi="Wingdings" w:hint="default"/>
      </w:rPr>
    </w:lvl>
    <w:lvl w:ilvl="1" w:tplc="040D0019">
      <w:start w:val="1"/>
      <w:numFmt w:val="lowerLetter"/>
      <w:lvlText w:val="%2."/>
      <w:lvlJc w:val="left"/>
      <w:pPr>
        <w:tabs>
          <w:tab w:val="num" w:pos="4320"/>
        </w:tabs>
        <w:ind w:left="4320" w:right="4320" w:hanging="360"/>
      </w:pPr>
    </w:lvl>
    <w:lvl w:ilvl="2" w:tplc="040D001B">
      <w:start w:val="1"/>
      <w:numFmt w:val="lowerRoman"/>
      <w:lvlText w:val="%3."/>
      <w:lvlJc w:val="right"/>
      <w:pPr>
        <w:tabs>
          <w:tab w:val="num" w:pos="5040"/>
        </w:tabs>
        <w:ind w:left="5040" w:right="5040" w:hanging="180"/>
      </w:pPr>
    </w:lvl>
    <w:lvl w:ilvl="3" w:tplc="040D000F" w:tentative="1">
      <w:start w:val="1"/>
      <w:numFmt w:val="decimal"/>
      <w:lvlText w:val="%4."/>
      <w:lvlJc w:val="left"/>
      <w:pPr>
        <w:tabs>
          <w:tab w:val="num" w:pos="5760"/>
        </w:tabs>
        <w:ind w:left="5760" w:right="5760" w:hanging="360"/>
      </w:pPr>
    </w:lvl>
    <w:lvl w:ilvl="4" w:tplc="040D0019" w:tentative="1">
      <w:start w:val="1"/>
      <w:numFmt w:val="lowerLetter"/>
      <w:lvlText w:val="%5."/>
      <w:lvlJc w:val="left"/>
      <w:pPr>
        <w:tabs>
          <w:tab w:val="num" w:pos="6480"/>
        </w:tabs>
        <w:ind w:left="6480" w:right="6480" w:hanging="360"/>
      </w:pPr>
    </w:lvl>
    <w:lvl w:ilvl="5" w:tplc="040D001B" w:tentative="1">
      <w:start w:val="1"/>
      <w:numFmt w:val="lowerRoman"/>
      <w:lvlText w:val="%6."/>
      <w:lvlJc w:val="right"/>
      <w:pPr>
        <w:tabs>
          <w:tab w:val="num" w:pos="7200"/>
        </w:tabs>
        <w:ind w:left="7200" w:right="7200" w:hanging="180"/>
      </w:pPr>
    </w:lvl>
    <w:lvl w:ilvl="6" w:tplc="040D000F" w:tentative="1">
      <w:start w:val="1"/>
      <w:numFmt w:val="decimal"/>
      <w:lvlText w:val="%7."/>
      <w:lvlJc w:val="left"/>
      <w:pPr>
        <w:tabs>
          <w:tab w:val="num" w:pos="7920"/>
        </w:tabs>
        <w:ind w:left="7920" w:right="7920" w:hanging="360"/>
      </w:pPr>
    </w:lvl>
    <w:lvl w:ilvl="7" w:tplc="040D0019" w:tentative="1">
      <w:start w:val="1"/>
      <w:numFmt w:val="lowerLetter"/>
      <w:lvlText w:val="%8."/>
      <w:lvlJc w:val="left"/>
      <w:pPr>
        <w:tabs>
          <w:tab w:val="num" w:pos="8640"/>
        </w:tabs>
        <w:ind w:left="8640" w:right="8640" w:hanging="360"/>
      </w:pPr>
    </w:lvl>
    <w:lvl w:ilvl="8" w:tplc="040D001B" w:tentative="1">
      <w:start w:val="1"/>
      <w:numFmt w:val="lowerRoman"/>
      <w:lvlText w:val="%9."/>
      <w:lvlJc w:val="right"/>
      <w:pPr>
        <w:tabs>
          <w:tab w:val="num" w:pos="9360"/>
        </w:tabs>
        <w:ind w:left="9360" w:right="9360" w:hanging="180"/>
      </w:pPr>
    </w:lvl>
  </w:abstractNum>
  <w:abstractNum w:abstractNumId="12" w15:restartNumberingAfterBreak="0">
    <w:nsid w:val="73F07CE1"/>
    <w:multiLevelType w:val="hybridMultilevel"/>
    <w:tmpl w:val="40D0DF6A"/>
    <w:lvl w:ilvl="0" w:tplc="A162BCBA">
      <w:start w:val="1"/>
      <w:numFmt w:val="bullet"/>
      <w:lvlText w:val=""/>
      <w:lvlJc w:val="left"/>
      <w:pPr>
        <w:tabs>
          <w:tab w:val="num" w:pos="720"/>
        </w:tabs>
        <w:ind w:left="720" w:right="720" w:hanging="360"/>
      </w:pPr>
      <w:rPr>
        <w:rFonts w:ascii="Wingdings" w:hAnsi="Wingdings" w:hint="default"/>
      </w:rPr>
    </w:lvl>
    <w:lvl w:ilvl="1" w:tplc="040D0003">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7FD6015F"/>
    <w:multiLevelType w:val="hybridMultilevel"/>
    <w:tmpl w:val="9C2A710C"/>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abstractNumId w:val="10"/>
  </w:num>
  <w:num w:numId="2">
    <w:abstractNumId w:val="9"/>
  </w:num>
  <w:num w:numId="3">
    <w:abstractNumId w:val="5"/>
  </w:num>
  <w:num w:numId="4">
    <w:abstractNumId w:val="0"/>
  </w:num>
  <w:num w:numId="5">
    <w:abstractNumId w:val="12"/>
  </w:num>
  <w:num w:numId="6">
    <w:abstractNumId w:val="6"/>
  </w:num>
  <w:num w:numId="7">
    <w:abstractNumId w:val="1"/>
  </w:num>
  <w:num w:numId="8">
    <w:abstractNumId w:val="13"/>
  </w:num>
  <w:num w:numId="9">
    <w:abstractNumId w:val="8"/>
  </w:num>
  <w:num w:numId="10">
    <w:abstractNumId w:val="11"/>
  </w:num>
  <w:num w:numId="11">
    <w:abstractNumId w:val="4"/>
  </w:num>
  <w:num w:numId="12">
    <w:abstractNumId w:val="7"/>
  </w:num>
  <w:num w:numId="13">
    <w:abstractNumId w:val="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proofState w:grammar="clean"/>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3E1"/>
    <w:rsid w:val="003529C6"/>
    <w:rsid w:val="004D5B84"/>
    <w:rsid w:val="00A143E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B3B7A2"/>
  <w15:chartTrackingRefBased/>
  <w15:docId w15:val="{31C488FA-5C4F-4F42-98CE-7BC4DFBFF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spacing w:line="360" w:lineRule="auto"/>
      <w:jc w:val="both"/>
    </w:pPr>
    <w:rPr>
      <w:rFonts w:cs="David"/>
      <w:sz w:val="24"/>
      <w:szCs w:val="24"/>
      <w:lang w:eastAsia="he-IL"/>
    </w:rPr>
  </w:style>
  <w:style w:type="paragraph" w:styleId="1">
    <w:name w:val="heading 1"/>
    <w:basedOn w:val="a"/>
    <w:next w:val="a"/>
    <w:qFormat/>
    <w:pPr>
      <w:keepNext/>
      <w:spacing w:after="60"/>
      <w:outlineLvl w:val="0"/>
    </w:pPr>
    <w:rPr>
      <w:sz w:val="16"/>
      <w:szCs w:val="18"/>
      <w:lang w:eastAsia="en-US"/>
    </w:rPr>
  </w:style>
  <w:style w:type="paragraph" w:styleId="2">
    <w:name w:val="heading 2"/>
    <w:basedOn w:val="a"/>
    <w:next w:val="a"/>
    <w:qFormat/>
    <w:pPr>
      <w:keepNext/>
      <w:tabs>
        <w:tab w:val="left" w:pos="4109"/>
        <w:tab w:val="left" w:pos="6072"/>
      </w:tabs>
      <w:autoSpaceDE w:val="0"/>
      <w:autoSpaceDN w:val="0"/>
      <w:spacing w:after="240"/>
      <w:outlineLvl w:val="1"/>
    </w:pPr>
    <w:rPr>
      <w:b/>
      <w:bCs/>
      <w:sz w:val="34"/>
      <w:szCs w:val="32"/>
      <w:u w:val="single"/>
      <w:lang w:eastAsia="en-US"/>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rFonts w:cs="Miriam"/>
      <w:szCs w:val="22"/>
      <w:vertAlign w:val="superscript"/>
    </w:rPr>
  </w:style>
  <w:style w:type="paragraph" w:styleId="a4">
    <w:name w:val="footnote text"/>
    <w:basedOn w:val="a"/>
    <w:semiHidden/>
    <w:pPr>
      <w:tabs>
        <w:tab w:val="left" w:pos="4109"/>
        <w:tab w:val="left" w:pos="6072"/>
      </w:tabs>
      <w:autoSpaceDE w:val="0"/>
      <w:autoSpaceDN w:val="0"/>
    </w:pPr>
    <w:rPr>
      <w:sz w:val="20"/>
      <w:szCs w:val="20"/>
      <w:lang w:eastAsia="en-US"/>
    </w:rPr>
  </w:style>
  <w:style w:type="paragraph" w:styleId="a5">
    <w:name w:val="Body Text"/>
    <w:basedOn w:val="a"/>
    <w:semiHidden/>
    <w:pPr>
      <w:spacing w:after="120" w:line="240" w:lineRule="auto"/>
      <w:ind w:left="566"/>
    </w:pPr>
    <w:rPr>
      <w:rFonts w:cs="FrankRuehl"/>
      <w:snapToGrid w:val="0"/>
    </w:rPr>
  </w:style>
  <w:style w:type="paragraph" w:styleId="a6">
    <w:name w:val="annotation text"/>
    <w:basedOn w:val="a"/>
    <w:semiHidden/>
    <w:pPr>
      <w:spacing w:after="120" w:line="240" w:lineRule="auto"/>
    </w:pPr>
    <w:rPr>
      <w:snapToGrid w:val="0"/>
    </w:rPr>
  </w:style>
  <w:style w:type="character" w:styleId="Hyperlink">
    <w:name w:val="Hyperlink"/>
    <w:semiHidden/>
    <w:rPr>
      <w:b/>
      <w:bCs/>
      <w:color w:val="0000FF"/>
      <w:u w:val="single"/>
    </w:rPr>
  </w:style>
  <w:style w:type="paragraph" w:styleId="a7">
    <w:name w:val="Title"/>
    <w:basedOn w:val="a"/>
    <w:qFormat/>
    <w:pPr>
      <w:spacing w:after="120" w:line="240" w:lineRule="auto"/>
      <w:jc w:val="center"/>
    </w:pPr>
    <w:rPr>
      <w:i/>
      <w:iCs/>
    </w:rPr>
  </w:style>
  <w:style w:type="paragraph" w:styleId="a8">
    <w:name w:val="endnote text"/>
    <w:basedOn w:val="a"/>
    <w:semiHidden/>
    <w:rPr>
      <w:sz w:val="20"/>
      <w:szCs w:val="20"/>
    </w:rPr>
  </w:style>
  <w:style w:type="character" w:styleId="a9">
    <w:name w:val="endnote reference"/>
    <w:semiHidden/>
    <w:rPr>
      <w:vertAlign w:val="superscript"/>
    </w:rPr>
  </w:style>
  <w:style w:type="paragraph" w:styleId="aa">
    <w:name w:val="Body Text Indent"/>
    <w:basedOn w:val="a"/>
    <w:semiHidden/>
    <w:pPr>
      <w:ind w:left="1538" w:hanging="98"/>
    </w:pPr>
  </w:style>
  <w:style w:type="paragraph" w:styleId="20">
    <w:name w:val="Body Text 2"/>
    <w:basedOn w:val="a"/>
    <w:semiHidden/>
    <w:rPr>
      <w:color w:val="FF0000"/>
    </w:rPr>
  </w:style>
  <w:style w:type="character" w:styleId="ab">
    <w:name w:val="Strong"/>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126BF58F1D3E534198274CAD27C9364B" ma:contentTypeVersion="15" ma:contentTypeDescription="צור מסמך חדש." ma:contentTypeScope="" ma:versionID="404f4c90b1dd83b821518da62684989d">
  <xsd:schema xmlns:xsd="http://www.w3.org/2001/XMLSchema" xmlns:xs="http://www.w3.org/2001/XMLSchema" xmlns:p="http://schemas.microsoft.com/office/2006/metadata/properties" xmlns:ns3="8893e021-340b-47fb-be7c-94ed5d83ed0a" targetNamespace="http://schemas.microsoft.com/office/2006/metadata/properties" ma:root="true" ma:fieldsID="13b81221d6f1d584edafc68ff58ba301" ns3:_="">
    <xsd:import namespace="8893e021-340b-47fb-be7c-94ed5d83ed0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3e021-340b-47fb-be7c-94ed5d83ed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893e021-340b-47fb-be7c-94ed5d83ed0a" xsi:nil="true"/>
  </documentManagement>
</p:properties>
</file>

<file path=customXml/itemProps1.xml><?xml version="1.0" encoding="utf-8"?>
<ds:datastoreItem xmlns:ds="http://schemas.openxmlformats.org/officeDocument/2006/customXml" ds:itemID="{DC8D0898-81A3-4B72-92E2-9001A7D1CE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3e021-340b-47fb-be7c-94ed5d83ed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0F0E68-4DC0-4A61-9070-2FE0CE6428BF}">
  <ds:schemaRefs>
    <ds:schemaRef ds:uri="http://schemas.microsoft.com/sharepoint/v3/contenttype/forms"/>
  </ds:schemaRefs>
</ds:datastoreItem>
</file>

<file path=customXml/itemProps3.xml><?xml version="1.0" encoding="utf-8"?>
<ds:datastoreItem xmlns:ds="http://schemas.openxmlformats.org/officeDocument/2006/customXml" ds:itemID="{F18AC5D3-8CC6-4A91-849F-CEF12DDA810A}">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8893e021-340b-47fb-be7c-94ed5d83ed0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451</Words>
  <Characters>2259</Characters>
  <Application>Microsoft Office Word</Application>
  <DocSecurity>4</DocSecurity>
  <Lines>18</Lines>
  <Paragraphs>5</Paragraphs>
  <ScaleCrop>false</ScaleCrop>
  <HeadingPairs>
    <vt:vector size="2" baseType="variant">
      <vt:variant>
        <vt:lpstr>שם</vt:lpstr>
      </vt:variant>
      <vt:variant>
        <vt:i4>1</vt:i4>
      </vt:variant>
    </vt:vector>
  </HeadingPairs>
  <TitlesOfParts>
    <vt:vector size="1" baseType="lpstr">
      <vt:lpstr>שקלים ב-ג</vt:lpstr>
    </vt:vector>
  </TitlesOfParts>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שקלים ב-ג</dc:title>
  <dc:subject/>
  <dc:creator>פראנק</dc:creator>
  <cp:keywords/>
  <dc:description/>
  <cp:lastModifiedBy>אוריאל פרנק</cp:lastModifiedBy>
  <cp:revision>2</cp:revision>
  <dcterms:created xsi:type="dcterms:W3CDTF">2026-10-19T14:44:00Z</dcterms:created>
  <dcterms:modified xsi:type="dcterms:W3CDTF">2026-10-19T14:44:00Z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0x010100126BF58F1D3E534198274CAD27C9364B</vt:lpwstr>
  </property>
</Properties>
</file>